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20F28">
      <w:pPr>
        <w:jc w:val="center"/>
        <w:rPr>
          <w:b/>
          <w:lang w:val="uk-UA"/>
        </w:rPr>
      </w:pPr>
    </w:p>
    <w:p w14:paraId="17D25C4C">
      <w:pPr>
        <w:jc w:val="center"/>
        <w:rPr>
          <w:b/>
          <w:lang w:val="uk-UA"/>
        </w:rPr>
      </w:pPr>
    </w:p>
    <w:p w14:paraId="3201A33B">
      <w:pPr>
        <w:jc w:val="center"/>
        <w:rPr>
          <w:b/>
          <w:lang w:val="uk-UA"/>
        </w:rPr>
      </w:pPr>
      <w:r>
        <w:rPr>
          <w:b/>
          <w:lang w:val="uk-UA"/>
        </w:rPr>
        <w:t xml:space="preserve">ПОРЯДОК </w:t>
      </w:r>
    </w:p>
    <w:p w14:paraId="300B3841">
      <w:pPr>
        <w:jc w:val="center"/>
        <w:rPr>
          <w:b/>
          <w:lang w:val="uk-UA"/>
        </w:rPr>
      </w:pPr>
      <w:r>
        <w:rPr>
          <w:b/>
          <w:lang w:val="uk-UA"/>
        </w:rPr>
        <w:t xml:space="preserve">залучення, розрахунку розміру і використання коштів пайової участі у створені і розвитку інженерно-транспортної та соціальної інфраструктури </w:t>
      </w:r>
    </w:p>
    <w:p w14:paraId="2B4E4BEF">
      <w:pPr>
        <w:jc w:val="center"/>
        <w:rPr>
          <w:lang w:val="uk-UA"/>
        </w:rPr>
      </w:pPr>
    </w:p>
    <w:p w14:paraId="0E151653">
      <w:pPr>
        <w:jc w:val="both"/>
        <w:rPr>
          <w:lang w:val="uk-UA"/>
        </w:rPr>
      </w:pPr>
      <w:r>
        <w:rPr>
          <w:b/>
          <w:lang w:val="uk-UA"/>
        </w:rPr>
        <w:t>1. ЗАГАЛЬНІ ПОЛОЖЕННЯ</w:t>
      </w:r>
      <w:r>
        <w:rPr>
          <w:lang w:val="uk-UA"/>
        </w:rPr>
        <w:t>.</w:t>
      </w:r>
    </w:p>
    <w:p w14:paraId="07182C55">
      <w:pPr>
        <w:jc w:val="both"/>
        <w:rPr>
          <w:lang w:val="uk-UA"/>
        </w:rPr>
      </w:pPr>
      <w:r>
        <w:rPr>
          <w:lang w:val="uk-UA"/>
        </w:rPr>
        <w:t xml:space="preserve">1.1. Цей Порядок залучення, розрахунку розміру і використання коштів пайової участі у розвитку інженерно-транспортної та соціальної інфраструктури (далі – Порядок) розроблений відповідно до статті 40 Закону України «Про регулювання містобудівної діяльності» та визначає механізм залучення, розрахунку розмірів і використання коштів пайової участі замовників у створенні і розвитку інженерно- транспортної та соціальної інфраструктури населених пунктів Широківської сільської ради. </w:t>
      </w:r>
    </w:p>
    <w:p w14:paraId="6B4A579C">
      <w:pPr>
        <w:spacing w:line="100" w:lineRule="atLeast"/>
        <w:jc w:val="both"/>
        <w:rPr>
          <w:lang w:val="uk-UA"/>
        </w:rPr>
      </w:pPr>
      <w:r>
        <w:rPr>
          <w:lang w:val="uk-UA"/>
        </w:rPr>
        <w:t xml:space="preserve">1.2. </w:t>
      </w:r>
      <w:r>
        <w:t>Цей Порядок регулює організаційні  відносини, пов’язані з пайовою участю (внеском) замовників у створенні  і розвитку інженерно-транспортної та соціальної інфраструктури населених пунктів</w:t>
      </w:r>
      <w:r>
        <w:rPr>
          <w:lang w:val="uk-UA"/>
        </w:rPr>
        <w:t xml:space="preserve"> Широківської</w:t>
      </w:r>
      <w:r>
        <w:t xml:space="preserve"> </w:t>
      </w:r>
      <w:r>
        <w:rPr>
          <w:lang w:val="uk-UA"/>
        </w:rPr>
        <w:t>сільської</w:t>
      </w:r>
      <w:r>
        <w:t xml:space="preserve"> ради при укладанні відповідних Договорів, їх облік, контроль за виконанням, а також порядок використання залучених коштів.</w:t>
      </w:r>
    </w:p>
    <w:p w14:paraId="6DE8D0C9">
      <w:pPr>
        <w:jc w:val="both"/>
        <w:rPr>
          <w:lang w:val="uk-UA"/>
        </w:rPr>
      </w:pPr>
      <w:r>
        <w:rPr>
          <w:lang w:val="uk-UA"/>
        </w:rPr>
        <w:t xml:space="preserve">1.3. Пайова участь замовників у створенні і розвитку інженерно-транспортної та соціальної інфраструктури населених пунктів Широківської сільської ради (далі – пайова участь) є обов’язковим внеском, який замовник має сплатити до спеціального фонду місцевого бюджету (бюджет розвитку), крім випадків, передбачених законом та цим Порядком. </w:t>
      </w:r>
    </w:p>
    <w:p w14:paraId="66BA8410">
      <w:pPr>
        <w:jc w:val="both"/>
        <w:rPr>
          <w:lang w:val="uk-UA"/>
        </w:rPr>
      </w:pPr>
      <w:r>
        <w:t>1.4. Пайова участь у розвитку інфраструктури полягає у перерахуванні замовником будівництва до місцевого бюджету коштів до прийняття об’єкта будівництва в експлуатацію.</w:t>
      </w:r>
    </w:p>
    <w:p w14:paraId="50D8CCD8">
      <w:pPr>
        <w:jc w:val="both"/>
        <w:rPr>
          <w:lang w:val="uk-UA"/>
        </w:rPr>
      </w:pPr>
    </w:p>
    <w:p w14:paraId="7D2DAE0A">
      <w:pPr>
        <w:jc w:val="both"/>
        <w:rPr>
          <w:lang w:val="uk-UA"/>
        </w:rPr>
      </w:pPr>
      <w:r>
        <w:rPr>
          <w:b/>
          <w:lang w:val="uk-UA"/>
        </w:rPr>
        <w:t>2. ВИЗНАЧЕННЯ ТЕРМІНІВ</w:t>
      </w:r>
      <w:r>
        <w:rPr>
          <w:lang w:val="uk-UA"/>
        </w:rPr>
        <w:t>.</w:t>
      </w:r>
    </w:p>
    <w:p w14:paraId="08A1FDCA">
      <w:pPr>
        <w:jc w:val="both"/>
        <w:rPr>
          <w:lang w:val="uk-UA"/>
        </w:rPr>
      </w:pPr>
      <w:r>
        <w:rPr>
          <w:lang w:val="uk-UA"/>
        </w:rPr>
        <w:t xml:space="preserve">2.1. У цьому Порядку терміни вживаються в такому значенні: </w:t>
      </w:r>
    </w:p>
    <w:p w14:paraId="6E82CEB2">
      <w:pPr>
        <w:jc w:val="both"/>
        <w:rPr>
          <w:lang w:val="uk-UA"/>
        </w:rPr>
      </w:pPr>
      <w:r>
        <w:rPr>
          <w:b/>
          <w:lang w:val="uk-UA"/>
        </w:rPr>
        <w:t>будівництво</w:t>
      </w:r>
      <w:r>
        <w:rPr>
          <w:lang w:val="uk-UA"/>
        </w:rPr>
        <w:t xml:space="preserve"> – нове будівництво, реконструкція, реставрація, капітальний ремонт об’єктів будівництва; </w:t>
      </w:r>
    </w:p>
    <w:p w14:paraId="45E70DD5">
      <w:pPr>
        <w:jc w:val="both"/>
        <w:rPr>
          <w:lang w:val="uk-UA"/>
        </w:rPr>
      </w:pPr>
      <w:r>
        <w:rPr>
          <w:b/>
          <w:lang w:val="uk-UA"/>
        </w:rPr>
        <w:t>величина пайової участі</w:t>
      </w:r>
      <w:r>
        <w:rPr>
          <w:lang w:val="uk-UA"/>
        </w:rPr>
        <w:t xml:space="preserve"> – визначений з урахуванням загальної кошторисної вартості будівництва об’єкта (згідно з будівельними нормами, державними стандартами і правилами) розмір грошових коштів, який зазначається у договорі, укладеному між замовником будівництва та Широківською сільською радою; </w:t>
      </w:r>
    </w:p>
    <w:p w14:paraId="36EE59A6">
      <w:pPr>
        <w:jc w:val="both"/>
        <w:rPr>
          <w:lang w:val="uk-UA"/>
        </w:rPr>
      </w:pPr>
      <w:r>
        <w:rPr>
          <w:b/>
          <w:lang w:val="uk-UA"/>
        </w:rPr>
        <w:t>замовник будівництва</w:t>
      </w:r>
      <w:r>
        <w:rPr>
          <w:lang w:val="uk-UA"/>
        </w:rPr>
        <w:t xml:space="preserve"> – фізична або юридична особа, яка має намір щодо забудови території (однієї чи декількох земельних ділянок); </w:t>
      </w:r>
    </w:p>
    <w:p w14:paraId="5C5920F7">
      <w:pPr>
        <w:jc w:val="both"/>
        <w:rPr>
          <w:lang w:val="uk-UA"/>
        </w:rPr>
      </w:pPr>
      <w:r>
        <w:rPr>
          <w:b/>
          <w:lang w:val="uk-UA"/>
        </w:rPr>
        <w:t>інженерно-транспортна інфраструктура</w:t>
      </w:r>
      <w:r>
        <w:rPr>
          <w:lang w:val="uk-UA"/>
        </w:rPr>
        <w:t xml:space="preserve"> – комплекс інженерних, транспортних споруд і комунікацій; </w:t>
      </w:r>
    </w:p>
    <w:p w14:paraId="7BB36BCB">
      <w:pPr>
        <w:jc w:val="both"/>
        <w:rPr>
          <w:lang w:val="uk-UA"/>
        </w:rPr>
      </w:pPr>
      <w:r>
        <w:rPr>
          <w:b/>
          <w:lang w:val="uk-UA"/>
        </w:rPr>
        <w:t>об’єкти будівництва</w:t>
      </w:r>
      <w:r>
        <w:rPr>
          <w:lang w:val="uk-UA"/>
        </w:rPr>
        <w:t xml:space="preserve"> – будинки, будівлі, споруди будь-якого призначення, їх комплекси та частини, лінійні об’єкти інженерно-транспортної інфраструктури; </w:t>
      </w:r>
    </w:p>
    <w:p w14:paraId="4E316A7F">
      <w:pPr>
        <w:jc w:val="both"/>
        <w:rPr>
          <w:lang w:val="uk-UA"/>
        </w:rPr>
      </w:pPr>
      <w:r>
        <w:rPr>
          <w:b/>
          <w:lang w:val="uk-UA"/>
        </w:rPr>
        <w:t>розвиток інженерно-транспортної та соціальної інфраструктури</w:t>
      </w:r>
      <w:r>
        <w:rPr>
          <w:lang w:val="uk-UA"/>
        </w:rPr>
        <w:t xml:space="preserve"> – це процес і результат кількісних і якісних змін об’єктів інженерно-транспортної та соціальної інфраструктури населених пунктів Широківської сільської ради; </w:t>
      </w:r>
    </w:p>
    <w:p w14:paraId="65F58729">
      <w:pPr>
        <w:jc w:val="both"/>
        <w:rPr>
          <w:lang w:val="uk-UA"/>
        </w:rPr>
      </w:pPr>
      <w:r>
        <w:rPr>
          <w:b/>
          <w:lang w:val="uk-UA"/>
        </w:rPr>
        <w:t>соціальна інфраструктура</w:t>
      </w:r>
      <w:r>
        <w:rPr>
          <w:lang w:val="uk-UA"/>
        </w:rPr>
        <w:t xml:space="preserve"> – комплекс об’єктів (підприємств, закладів, організацій та споруд), які забезпечують умови функціонування суспільного виробництва і життєдіяльності населення, формування фізично та інтелектуально розвиненого, суспільно активного індивіда;</w:t>
      </w:r>
    </w:p>
    <w:p w14:paraId="4EC1F348">
      <w:pPr>
        <w:jc w:val="both"/>
        <w:rPr>
          <w:lang w:val="uk-UA"/>
        </w:rPr>
      </w:pPr>
      <w:r>
        <w:rPr>
          <w:b/>
          <w:lang w:val="uk-UA"/>
        </w:rPr>
        <w:t>технічні умови</w:t>
      </w:r>
      <w:r>
        <w:rPr>
          <w:lang w:val="uk-UA"/>
        </w:rPr>
        <w:t xml:space="preserve"> – комплекс умов та вимог до інженерного забезпечення об’єкта будівництва, які відповідають його розрахунковим параметрам і є складовою вихідних даних для проектування об’єкта будівництва.</w:t>
      </w:r>
    </w:p>
    <w:p w14:paraId="439F1D0D">
      <w:pPr>
        <w:jc w:val="both"/>
        <w:rPr>
          <w:lang w:val="uk-UA"/>
        </w:rPr>
      </w:pPr>
    </w:p>
    <w:p w14:paraId="7865B950">
      <w:pPr>
        <w:jc w:val="both"/>
        <w:rPr>
          <w:b/>
          <w:lang w:val="uk-UA"/>
        </w:rPr>
      </w:pPr>
      <w:r>
        <w:rPr>
          <w:b/>
        </w:rPr>
        <w:t xml:space="preserve">3. ПОРЯДОК ЗАЛУЧЕННЯ ЗАМОВНИКІВ ДО ПАЙОВОЇ УЧАСТІ </w:t>
      </w:r>
    </w:p>
    <w:p w14:paraId="128A0F1F">
      <w:pPr>
        <w:jc w:val="both"/>
        <w:rPr>
          <w:lang w:val="uk-UA"/>
        </w:rPr>
      </w:pPr>
      <w:r>
        <w:rPr>
          <w:lang w:val="uk-UA"/>
        </w:rPr>
        <w:t xml:space="preserve">3.1. Замовник будівництва, не менш ніж за 15 робочих днів до дня прийняття об’єкта будівництва в експлуатацію, повинен звернутися до Широківської сільської ради із заявою про укладення Договору про пайову участь у створенні і розвитку інженерно-транспортної та соціальної інфраструктури територіальної громади Широківської сільської ради (далі – Договір). </w:t>
      </w:r>
    </w:p>
    <w:p w14:paraId="631BF67D">
      <w:pPr>
        <w:jc w:val="both"/>
        <w:rPr>
          <w:lang w:val="uk-UA"/>
        </w:rPr>
      </w:pPr>
      <w:r>
        <w:rPr>
          <w:lang w:val="uk-UA"/>
        </w:rPr>
        <w:t xml:space="preserve">3.2. До звернення про укладання Договору замовник будівництва додає: </w:t>
      </w:r>
    </w:p>
    <w:p w14:paraId="50F706DF">
      <w:pPr>
        <w:jc w:val="both"/>
        <w:rPr>
          <w:lang w:val="uk-UA"/>
        </w:rPr>
      </w:pPr>
      <w:r>
        <w:rPr>
          <w:lang w:val="uk-UA"/>
        </w:rPr>
        <w:t xml:space="preserve">3.2.1. копію дозволу на виконання будівельних робіт або декларацію про початок виконання будівельних робіт зареєстровану у встановленому Законом порядку; </w:t>
      </w:r>
    </w:p>
    <w:p w14:paraId="4902032C">
      <w:pPr>
        <w:jc w:val="both"/>
        <w:rPr>
          <w:lang w:val="uk-UA"/>
        </w:rPr>
      </w:pPr>
      <w:r>
        <w:rPr>
          <w:lang w:val="uk-UA"/>
        </w:rPr>
        <w:t xml:space="preserve">3.2.2. зведений кошторисний розрахунок вартості будівництва об’єкта містобудування, визначеної згідно з державними будівельними нормами (за наявністю), та техніко-економічні показники; </w:t>
      </w:r>
    </w:p>
    <w:p w14:paraId="5CAE2A3E">
      <w:pPr>
        <w:jc w:val="both"/>
        <w:rPr>
          <w:lang w:val="uk-UA"/>
        </w:rPr>
      </w:pPr>
      <w:r>
        <w:rPr>
          <w:lang w:val="uk-UA"/>
        </w:rPr>
        <w:t>3.2.3. правовстановлюючі документи замовника будівництва:</w:t>
      </w:r>
    </w:p>
    <w:p w14:paraId="6E037F25">
      <w:pPr>
        <w:jc w:val="both"/>
        <w:rPr>
          <w:lang w:val="uk-UA"/>
        </w:rPr>
      </w:pPr>
      <w:r>
        <w:rPr>
          <w:lang w:val="uk-UA"/>
        </w:rPr>
        <w:t xml:space="preserve"> а) для юридичних осіб:</w:t>
      </w:r>
    </w:p>
    <w:p w14:paraId="119D4A2B">
      <w:pPr>
        <w:jc w:val="both"/>
        <w:rPr>
          <w:lang w:val="uk-UA"/>
        </w:rPr>
      </w:pPr>
      <w:r>
        <w:rPr>
          <w:lang w:val="uk-UA"/>
        </w:rPr>
        <w:t>– копії установчих документів, засвідчені печаткою та підписом уповноваженого представника замовника;</w:t>
      </w:r>
    </w:p>
    <w:p w14:paraId="02682B7A">
      <w:pPr>
        <w:jc w:val="both"/>
        <w:rPr>
          <w:lang w:val="uk-UA"/>
        </w:rPr>
      </w:pPr>
      <w:r>
        <w:rPr>
          <w:lang w:val="uk-UA"/>
        </w:rPr>
        <w:t xml:space="preserve">– довідку із зазначенням реквізитів юридичної особи, найменування посади та П.І.Б. особи, яка відповідно до установчого чи іншого документу має право на укладення договорів від імені цієї юридичної особи; </w:t>
      </w:r>
    </w:p>
    <w:p w14:paraId="06D6C3DA">
      <w:pPr>
        <w:jc w:val="both"/>
        <w:rPr>
          <w:lang w:val="uk-UA"/>
        </w:rPr>
      </w:pPr>
      <w:r>
        <w:rPr>
          <w:lang w:val="uk-UA"/>
        </w:rPr>
        <w:t xml:space="preserve">– копію рішення про надання уповноваженій особі замовника повноважень на підписання договорів, засвідчену печаткою та підписом уповноваженого представника замовника (якщо уповноважена особа діє не на підставі установчих документів замовника); </w:t>
      </w:r>
    </w:p>
    <w:p w14:paraId="2F28AA88">
      <w:pPr>
        <w:jc w:val="both"/>
        <w:rPr>
          <w:lang w:val="uk-UA"/>
        </w:rPr>
      </w:pPr>
      <w:r>
        <w:rPr>
          <w:lang w:val="uk-UA"/>
        </w:rPr>
        <w:t xml:space="preserve">б) для фізичних осіб: </w:t>
      </w:r>
    </w:p>
    <w:p w14:paraId="5C85AC70">
      <w:pPr>
        <w:jc w:val="both"/>
        <w:rPr>
          <w:lang w:val="uk-UA"/>
        </w:rPr>
      </w:pPr>
      <w:r>
        <w:rPr>
          <w:lang w:val="uk-UA"/>
        </w:rPr>
        <w:t>– засвідчені підписом фізичної особи копії сторінок паспорта та облікової картки платника податків (за наявності);</w:t>
      </w:r>
    </w:p>
    <w:p w14:paraId="08C98ED1">
      <w:pPr>
        <w:jc w:val="both"/>
        <w:rPr>
          <w:lang w:val="uk-UA"/>
        </w:rPr>
      </w:pPr>
      <w:r>
        <w:rPr>
          <w:lang w:val="uk-UA"/>
        </w:rPr>
        <w:t xml:space="preserve">в) для фізичних осіб-підприємців: </w:t>
      </w:r>
    </w:p>
    <w:p w14:paraId="63A2D4F4">
      <w:pPr>
        <w:jc w:val="both"/>
        <w:rPr>
          <w:lang w:val="uk-UA"/>
        </w:rPr>
      </w:pPr>
      <w:r>
        <w:rPr>
          <w:lang w:val="uk-UA"/>
        </w:rPr>
        <w:t xml:space="preserve">– довідку із зазначенням місця знаходження та реквізитів фізичної особи </w:t>
      </w:r>
    </w:p>
    <w:p w14:paraId="3B23BF82">
      <w:pPr>
        <w:jc w:val="both"/>
        <w:rPr>
          <w:lang w:val="uk-UA"/>
        </w:rPr>
      </w:pPr>
      <w:r>
        <w:rPr>
          <w:lang w:val="uk-UA"/>
        </w:rPr>
        <w:t xml:space="preserve">– підприємця, засвідчену підписом та печаткою (за наявності) такої особи; </w:t>
      </w:r>
    </w:p>
    <w:p w14:paraId="78D66CD8">
      <w:pPr>
        <w:jc w:val="both"/>
        <w:rPr>
          <w:lang w:val="uk-UA"/>
        </w:rPr>
      </w:pPr>
      <w:r>
        <w:rPr>
          <w:lang w:val="uk-UA"/>
        </w:rPr>
        <w:t>– копію свідоцтва про реєстрацію фізичної особи – підприємця як платника податків.</w:t>
      </w:r>
    </w:p>
    <w:p w14:paraId="1BA3E927">
      <w:pPr>
        <w:jc w:val="both"/>
        <w:rPr>
          <w:lang w:val="uk-UA"/>
        </w:rPr>
      </w:pPr>
    </w:p>
    <w:p w14:paraId="1034A48A">
      <w:pPr>
        <w:jc w:val="both"/>
        <w:rPr>
          <w:b/>
          <w:lang w:val="uk-UA"/>
        </w:rPr>
      </w:pPr>
      <w:r>
        <w:rPr>
          <w:b/>
          <w:lang w:val="uk-UA"/>
        </w:rPr>
        <w:t xml:space="preserve">4. ВИЗНАЧЕННЯ РОЗМІРУ ПАЙОВОЇ УЧАСТІ </w:t>
      </w:r>
    </w:p>
    <w:p w14:paraId="3B7955C0">
      <w:pPr>
        <w:jc w:val="both"/>
        <w:rPr>
          <w:lang w:val="uk-UA"/>
        </w:rPr>
      </w:pPr>
      <w:r>
        <w:rPr>
          <w:lang w:val="uk-UA"/>
        </w:rPr>
        <w:t xml:space="preserve">4.1. Величина пайової участі у розвитку інфраструктури визначається у Договорі, укладеному з Широківською сільською радою (відповідно до встановленого цим Порядком розміру пайової участі у розвитку інфраструктури), з урахуванням загальної кошторисної вартості будівництва об’єкта, визначеної згідно з будівельними нормами, державними стандартами і правилами або відповідно п.4.5. цього Порядку. </w:t>
      </w:r>
    </w:p>
    <w:p w14:paraId="4B9E3E1A">
      <w:pPr>
        <w:jc w:val="both"/>
        <w:rPr>
          <w:lang w:val="uk-UA"/>
        </w:rPr>
      </w:pPr>
      <w:r>
        <w:rPr>
          <w:lang w:val="uk-UA"/>
        </w:rPr>
        <w:t xml:space="preserve">4.2. До загальної кошторисної вартості будівництва не враховуються витрати на придбання та виділення земельної ділянки, звільнення будівельного майданчика від будівель, споруд та інженерних мереж, влаштування внутрішніх і позамайданчикових інженерних мереж і споруд та транспортних комунікацій. </w:t>
      </w:r>
    </w:p>
    <w:p w14:paraId="09F033F6">
      <w:pPr>
        <w:jc w:val="both"/>
        <w:rPr>
          <w:lang w:val="uk-UA"/>
        </w:rPr>
      </w:pPr>
      <w:r>
        <w:rPr>
          <w:lang w:val="uk-UA"/>
        </w:rPr>
        <w:t xml:space="preserve">4.3. Для об’єктів будівництва, загальна кошторисна вартість яких визначена згідно з будівельними нормами, державними стандартами і правилами, розмір пайової участі у розвитку інфраструктури встановлюється: </w:t>
      </w:r>
    </w:p>
    <w:p w14:paraId="21BFEC86">
      <w:pPr>
        <w:jc w:val="both"/>
        <w:rPr>
          <w:lang w:val="uk-UA"/>
        </w:rPr>
      </w:pPr>
      <w:r>
        <w:rPr>
          <w:lang w:val="uk-UA"/>
        </w:rPr>
        <w:t xml:space="preserve">4.3.1. для нежитлових будівель та споруд – 10 відсотків загальної кошторисної вартості будівництва об’єкта; </w:t>
      </w:r>
    </w:p>
    <w:p w14:paraId="222B53EA">
      <w:pPr>
        <w:jc w:val="both"/>
        <w:rPr>
          <w:lang w:val="uk-UA"/>
        </w:rPr>
      </w:pPr>
      <w:r>
        <w:rPr>
          <w:lang w:val="uk-UA"/>
        </w:rPr>
        <w:t xml:space="preserve">4.3.2. для житлових будинків – 4 відсотки загальної кошторисної вартості будівництва об’єкта. </w:t>
      </w:r>
    </w:p>
    <w:p w14:paraId="21470186">
      <w:pPr>
        <w:jc w:val="both"/>
        <w:rPr>
          <w:lang w:val="uk-UA"/>
        </w:rPr>
      </w:pPr>
      <w:r>
        <w:rPr>
          <w:lang w:val="uk-UA"/>
        </w:rPr>
        <w:t xml:space="preserve">4.3.3. Тимчасово, на період з 01.01.2018 по 31.12.2018р. для об’єктів будівництва, загальна кошторисна вартість яких визначена згідно з будівельними нормами, державними стандартами і правилами, розмір пайової участі у розвитку інфраструктури встановлюється для нежитлових будівель та споруд – 1 відсоток загальної кошторисної вартості будівництва об’єкта; </w:t>
      </w:r>
    </w:p>
    <w:p w14:paraId="7192C8B9">
      <w:pPr>
        <w:jc w:val="both"/>
        <w:rPr>
          <w:lang w:val="uk-UA"/>
        </w:rPr>
      </w:pPr>
      <w:r>
        <w:rPr>
          <w:lang w:val="uk-UA"/>
        </w:rPr>
        <w:t xml:space="preserve">4.4. Розмір пайової участі визначається за формулами: </w:t>
      </w:r>
    </w:p>
    <w:p w14:paraId="291B871D">
      <w:pPr>
        <w:jc w:val="both"/>
        <w:rPr>
          <w:lang w:val="uk-UA"/>
        </w:rPr>
      </w:pPr>
      <w:r>
        <w:rPr>
          <w:lang w:val="uk-UA"/>
        </w:rPr>
        <w:t>– для нежитлових будівель та споруд: РПУ = (ЗКВБ – Вз – Вбм – Вім) × 10% (п. 4.3.1., 4.3.3.);</w:t>
      </w:r>
    </w:p>
    <w:p w14:paraId="3A780B8D">
      <w:pPr>
        <w:jc w:val="both"/>
        <w:rPr>
          <w:lang w:val="uk-UA"/>
        </w:rPr>
      </w:pPr>
      <w:r>
        <w:rPr>
          <w:lang w:val="uk-UA"/>
        </w:rPr>
        <w:t xml:space="preserve">– для житлових будинків: РПУ = (ЗКВБ – Вз – Вбм – Вім) × 4% (п. 4.3.2.,), </w:t>
      </w:r>
    </w:p>
    <w:p w14:paraId="6CA0ABFF">
      <w:pPr>
        <w:jc w:val="both"/>
        <w:rPr>
          <w:lang w:val="uk-UA"/>
        </w:rPr>
      </w:pPr>
      <w:r>
        <w:rPr>
          <w:lang w:val="uk-UA"/>
        </w:rPr>
        <w:t xml:space="preserve">де РПУ – розмір пайової участі; </w:t>
      </w:r>
    </w:p>
    <w:p w14:paraId="22C5F785">
      <w:pPr>
        <w:jc w:val="both"/>
        <w:rPr>
          <w:lang w:val="uk-UA"/>
        </w:rPr>
      </w:pPr>
      <w:r>
        <w:rPr>
          <w:lang w:val="uk-UA"/>
        </w:rPr>
        <w:t xml:space="preserve">ЗКВБ – загальна кошторисна вартість будівництва; </w:t>
      </w:r>
    </w:p>
    <w:p w14:paraId="537E7419">
      <w:pPr>
        <w:jc w:val="both"/>
        <w:rPr>
          <w:lang w:val="uk-UA"/>
        </w:rPr>
      </w:pPr>
      <w:r>
        <w:rPr>
          <w:lang w:val="uk-UA"/>
        </w:rPr>
        <w:t xml:space="preserve">Вз – витрати, пов’язані з придбанням та виділенням земельної ділянки; </w:t>
      </w:r>
    </w:p>
    <w:p w14:paraId="38E029C5">
      <w:pPr>
        <w:jc w:val="both"/>
        <w:rPr>
          <w:lang w:val="uk-UA"/>
        </w:rPr>
      </w:pPr>
      <w:r>
        <w:rPr>
          <w:lang w:val="uk-UA"/>
        </w:rPr>
        <w:t xml:space="preserve">Вбм – витрати, пов’язані із звільненням будівельного майданчика від будівель, споруд та інженерних мереж, що включають також вартість придбання знесеного майна; </w:t>
      </w:r>
    </w:p>
    <w:p w14:paraId="42D9C296">
      <w:pPr>
        <w:jc w:val="both"/>
        <w:rPr>
          <w:lang w:val="uk-UA"/>
        </w:rPr>
      </w:pPr>
      <w:r>
        <w:rPr>
          <w:lang w:val="uk-UA"/>
        </w:rPr>
        <w:t xml:space="preserve">Вім – витрати на влаштування внутрішніх і позамайданчикових інженерних мереж і споруд та транспортних комунікацій; </w:t>
      </w:r>
    </w:p>
    <w:p w14:paraId="10BECFDC">
      <w:pPr>
        <w:jc w:val="both"/>
        <w:rPr>
          <w:lang w:val="uk-UA"/>
        </w:rPr>
      </w:pPr>
      <w:r>
        <w:rPr>
          <w:lang w:val="uk-UA"/>
        </w:rPr>
        <w:t xml:space="preserve">10% або 4% – відсоток вартості будівництва, визначений згідно п. 4.3.1., 4.3.2. цього Порядку, з урахуванням п. 4.3.3. </w:t>
      </w:r>
    </w:p>
    <w:p w14:paraId="11C79DAB">
      <w:pPr>
        <w:jc w:val="both"/>
        <w:rPr>
          <w:lang w:val="uk-UA"/>
        </w:rPr>
      </w:pPr>
      <w:r>
        <w:rPr>
          <w:lang w:val="uk-UA"/>
        </w:rPr>
        <w:t xml:space="preserve">4.5. </w:t>
      </w:r>
      <w:r>
        <w:t xml:space="preserve">У разі якщо загальна кошторисна вартість будівництва об’єкта не визначена згідно з будівельними нормами, державними стандартами і правилами, вона визначається на основі встановлених нормативів </w:t>
      </w:r>
      <w:r>
        <w:rPr>
          <w:lang w:val="uk-UA"/>
        </w:rPr>
        <w:t>згідно Додатку № 1</w:t>
      </w:r>
      <w:r>
        <w:t>.</w:t>
      </w:r>
    </w:p>
    <w:p w14:paraId="7B2D19F9">
      <w:pPr>
        <w:jc w:val="both"/>
        <w:rPr>
          <w:lang w:val="uk-UA"/>
        </w:rPr>
      </w:pPr>
      <w:r>
        <w:rPr>
          <w:lang w:val="uk-UA"/>
        </w:rPr>
        <w:t xml:space="preserve">4.6. Розмір пайової участі у розвитку інфраструктури визначається протягом десяти робочих днів з дня реєстрації звернення замовника будівництва про укладення Договору про пайову участь та доданих до нього документів, що підтверджують вартість будівництва об’єкта, з техніко-економічними показниками. </w:t>
      </w:r>
      <w:r>
        <w:t xml:space="preserve">У разі зміни замовника будівництва розмір пайової участі у розвитку інфраструктури зменшується на суму коштів, сплачених попереднім замовником відповідно до укладеного ним Договору про пайову участь. </w:t>
      </w:r>
    </w:p>
    <w:p w14:paraId="6F07E738">
      <w:pPr>
        <w:shd w:val="clear" w:color="auto" w:fill="FFFFFF"/>
        <w:jc w:val="both"/>
        <w:rPr>
          <w:rFonts w:eastAsia="Calibri"/>
          <w:lang w:val="uk-UA"/>
        </w:rPr>
      </w:pPr>
      <w:r>
        <w:rPr>
          <w:rFonts w:eastAsia="Calibri"/>
          <w:lang w:val="uk-UA"/>
        </w:rPr>
        <w:t>4.</w:t>
      </w:r>
      <w:r>
        <w:rPr>
          <w:lang w:val="uk-UA"/>
        </w:rPr>
        <w:t>7</w:t>
      </w:r>
      <w:r>
        <w:rPr>
          <w:rFonts w:eastAsia="Calibri"/>
          <w:lang w:val="uk-UA"/>
        </w:rPr>
        <w:t xml:space="preserve">. Договір укладається в строк не пізніше 15 робочих днів з дня реєстрації </w:t>
      </w:r>
      <w:r>
        <w:rPr>
          <w:lang w:val="uk-UA"/>
        </w:rPr>
        <w:t>Широківською</w:t>
      </w:r>
      <w:r>
        <w:rPr>
          <w:rFonts w:eastAsia="Calibri"/>
          <w:lang w:val="uk-UA"/>
        </w:rPr>
        <w:t xml:space="preserve"> сільською радою звернення (клопотання) Замовника, до прийняття об’єкта будівництва в експлуатацію.</w:t>
      </w:r>
    </w:p>
    <w:p w14:paraId="70956FA1">
      <w:pPr>
        <w:shd w:val="clear" w:color="auto" w:fill="FFFFFF"/>
        <w:jc w:val="both"/>
        <w:rPr>
          <w:rFonts w:eastAsia="Calibri"/>
        </w:rPr>
      </w:pPr>
      <w:r>
        <w:rPr>
          <w:rFonts w:eastAsia="Calibri"/>
        </w:rPr>
        <w:t>4.</w:t>
      </w:r>
      <w:r>
        <w:rPr>
          <w:lang w:val="uk-UA"/>
        </w:rPr>
        <w:t>8</w:t>
      </w:r>
      <w:r>
        <w:rPr>
          <w:rFonts w:eastAsia="Calibri"/>
        </w:rPr>
        <w:t>. Істотними умовами Договору  є:</w:t>
      </w:r>
    </w:p>
    <w:p w14:paraId="5D856E59">
      <w:pPr>
        <w:shd w:val="clear" w:color="auto" w:fill="FFFFFF"/>
        <w:jc w:val="both"/>
        <w:rPr>
          <w:rFonts w:eastAsia="Calibri"/>
        </w:rPr>
      </w:pPr>
      <w:r>
        <w:rPr>
          <w:rFonts w:eastAsia="Calibri"/>
        </w:rPr>
        <w:t>- розмір пайової участі (внеску);</w:t>
      </w:r>
    </w:p>
    <w:p w14:paraId="0D07BEC8">
      <w:pPr>
        <w:shd w:val="clear" w:color="auto" w:fill="FFFFFF"/>
        <w:jc w:val="both"/>
        <w:rPr>
          <w:rFonts w:eastAsia="Calibri"/>
        </w:rPr>
      </w:pPr>
      <w:r>
        <w:rPr>
          <w:rFonts w:eastAsia="Calibri"/>
        </w:rPr>
        <w:t>- терміни (графік) оплати пайової участі (внеску);</w:t>
      </w:r>
    </w:p>
    <w:p w14:paraId="2FABC6F9">
      <w:pPr>
        <w:shd w:val="clear" w:color="auto" w:fill="FFFFFF"/>
        <w:jc w:val="both"/>
        <w:rPr>
          <w:rFonts w:eastAsia="Calibri"/>
        </w:rPr>
      </w:pPr>
      <w:r>
        <w:rPr>
          <w:rFonts w:eastAsia="Calibri"/>
        </w:rPr>
        <w:t>- відповідальність сторін.</w:t>
      </w:r>
    </w:p>
    <w:p w14:paraId="0581C1AB">
      <w:pPr>
        <w:shd w:val="clear" w:color="auto" w:fill="FFFFFF"/>
        <w:jc w:val="both"/>
      </w:pPr>
      <w:r>
        <w:rPr>
          <w:rFonts w:eastAsia="Calibri"/>
        </w:rPr>
        <w:t xml:space="preserve">Невід'ємною частиною  договору є розрахунок величини пайової участі (внеску) замовника у  створення  інфраструктури населених пунктів </w:t>
      </w:r>
      <w:r>
        <w:rPr>
          <w:lang w:val="uk-UA"/>
        </w:rPr>
        <w:t>Широківської</w:t>
      </w:r>
      <w:r>
        <w:rPr>
          <w:rFonts w:eastAsia="Calibri"/>
          <w:lang w:val="uk-UA"/>
        </w:rPr>
        <w:t xml:space="preserve"> сільської</w:t>
      </w:r>
      <w:r>
        <w:rPr>
          <w:lang w:val="uk-UA"/>
        </w:rPr>
        <w:t xml:space="preserve"> </w:t>
      </w:r>
      <w:r>
        <w:rPr>
          <w:rFonts w:eastAsia="Calibri"/>
        </w:rPr>
        <w:t>ради.</w:t>
      </w:r>
    </w:p>
    <w:p w14:paraId="3AF00ED7">
      <w:pPr>
        <w:jc w:val="both"/>
        <w:rPr>
          <w:lang w:val="uk-UA"/>
        </w:rPr>
      </w:pPr>
      <w:r>
        <w:t>4.</w:t>
      </w:r>
      <w:r>
        <w:rPr>
          <w:lang w:val="uk-UA"/>
        </w:rPr>
        <w:t>9</w:t>
      </w:r>
      <w:r>
        <w:t xml:space="preserve">. Кошти пайової участі у розвитку інфраструктури сплачуються в повному обсязі до прийняття об’єкта будівництва в експлуатацію єдиним платежем або частинами за графіком, що визначається Договором. </w:t>
      </w:r>
    </w:p>
    <w:p w14:paraId="54B229E4">
      <w:pPr>
        <w:jc w:val="both"/>
        <w:rPr>
          <w:lang w:val="uk-UA"/>
        </w:rPr>
      </w:pPr>
      <w:r>
        <w:rPr>
          <w:lang w:val="uk-UA"/>
        </w:rPr>
        <w:t xml:space="preserve">4.10. Замовникам житлового будівництва, які опинилися в складних життєвих обставинах, за рішенням виконавчого комітету Широківської сільської ради може бути надано відстрочення сплати пайового внеску у розвиток соціальної та інженерно-транспортної інфраструктури. </w:t>
      </w:r>
    </w:p>
    <w:p w14:paraId="6819A015">
      <w:pPr>
        <w:jc w:val="both"/>
        <w:rPr>
          <w:lang w:val="uk-UA"/>
        </w:rPr>
      </w:pPr>
      <w:r>
        <w:rPr>
          <w:lang w:val="uk-UA"/>
        </w:rPr>
        <w:t>4.11. Замовникам житлового будівництва, сім’ї яких складаються з трьох та більше неповнолітніх дітей, за рішенням виконавчого комітету Широківської сільської ради може надаватися пільга щодо зменшення розміру пайової участі, встановленого п. 4.3. цього Порядку.</w:t>
      </w:r>
    </w:p>
    <w:p w14:paraId="07E7BE7D">
      <w:pPr>
        <w:shd w:val="clear" w:color="auto" w:fill="FFFFFF"/>
        <w:jc w:val="both"/>
        <w:rPr>
          <w:lang w:val="uk-UA"/>
        </w:rPr>
      </w:pPr>
      <w:r>
        <w:rPr>
          <w:rFonts w:eastAsia="Calibri"/>
          <w:lang w:val="uk-UA"/>
        </w:rPr>
        <w:t>4.</w:t>
      </w:r>
      <w:r>
        <w:rPr>
          <w:lang w:val="uk-UA"/>
        </w:rPr>
        <w:t>12</w:t>
      </w:r>
      <w:r>
        <w:rPr>
          <w:rFonts w:eastAsia="Calibri"/>
          <w:lang w:val="uk-UA"/>
        </w:rPr>
        <w:t xml:space="preserve">. Замовники, які здійснили будівництво об’єктів містобудування без відповідного документа, який дає їм право виконувати будівництво зобов’язані протягом семи днів після прийняття об'єкта будівництва в експлуатацію подати до </w:t>
      </w:r>
      <w:r>
        <w:rPr>
          <w:lang w:val="uk-UA"/>
        </w:rPr>
        <w:t>Широківської</w:t>
      </w:r>
      <w:r>
        <w:rPr>
          <w:rFonts w:eastAsia="Calibri"/>
          <w:lang w:val="uk-UA"/>
        </w:rPr>
        <w:t xml:space="preserve"> сільської ради звернення (клопотання) про укладення Договору з документами, що підтверджують вартість будівництва об’єкта з техніко-економічними показниками (зареєстрована декларація про готовність об’єкта до експлуатації, сертифікат виданий на підставі акта готовності об’єкта до експлуатації).</w:t>
      </w:r>
    </w:p>
    <w:p w14:paraId="6E496F3F">
      <w:pPr>
        <w:shd w:val="clear" w:color="auto" w:fill="FFFFFF"/>
        <w:jc w:val="both"/>
        <w:rPr>
          <w:rFonts w:eastAsia="Calibri"/>
          <w:b/>
          <w:bCs/>
          <w:lang w:val="uk-UA"/>
        </w:rPr>
      </w:pPr>
      <w:r>
        <w:rPr>
          <w:rFonts w:eastAsia="Calibri"/>
          <w:lang w:val="uk-UA"/>
        </w:rPr>
        <w:t>4.</w:t>
      </w:r>
      <w:r>
        <w:rPr>
          <w:lang w:val="uk-UA"/>
        </w:rPr>
        <w:t>13</w:t>
      </w:r>
      <w:r>
        <w:rPr>
          <w:rFonts w:eastAsia="Calibri"/>
          <w:lang w:val="uk-UA"/>
        </w:rPr>
        <w:t>. Не виконання замовниками вимог цього Порядку в частині термінів укладення Договору та сплати коштів пайової участі (внеску) до прийняття об'єкта будівництва в експлуатацію не звільняє їх від обов’язку укладення Договору та сплати пайової участі (внеску)</w:t>
      </w:r>
      <w:r>
        <w:rPr>
          <w:rFonts w:eastAsia="Calibri"/>
        </w:rPr>
        <w:t> </w:t>
      </w:r>
      <w:r>
        <w:rPr>
          <w:rFonts w:eastAsia="Calibri"/>
          <w:lang w:val="uk-UA"/>
        </w:rPr>
        <w:t xml:space="preserve"> після прийняття об'єкта будівництва в експлуатацію.</w:t>
      </w:r>
    </w:p>
    <w:p w14:paraId="32520F81">
      <w:pPr>
        <w:jc w:val="both"/>
        <w:rPr>
          <w:lang w:val="uk-UA"/>
        </w:rPr>
      </w:pPr>
    </w:p>
    <w:p w14:paraId="58968E8C">
      <w:pPr>
        <w:jc w:val="both"/>
        <w:rPr>
          <w:b/>
          <w:lang w:val="uk-UA"/>
        </w:rPr>
      </w:pPr>
      <w:r>
        <w:rPr>
          <w:b/>
          <w:lang w:val="uk-UA"/>
        </w:rPr>
        <w:t xml:space="preserve">5. БУДІВНИЦТВО ІНЖЕНЕРНИХ МЕРЕЖ АБО ОБ’ЄКТІВ ІНЖЕНЕРНОЇ ІНФРАСТРУКТУРИ ЗА РАХУНОК КОШТІВ ПАЙОВОЇ УЧАСТІ </w:t>
      </w:r>
    </w:p>
    <w:p w14:paraId="0FD65DB7">
      <w:pPr>
        <w:jc w:val="both"/>
        <w:rPr>
          <w:lang w:val="uk-UA"/>
        </w:rPr>
      </w:pPr>
      <w:r>
        <w:rPr>
          <w:lang w:val="uk-UA"/>
        </w:rPr>
        <w:t xml:space="preserve">5.1. Якщо технічними умовами передбачається необхідність будівництва замовником інженерних мереж або об’єктів інженерної інфраструктури (крім мереж, призначених для передачі та розподілу електричної енергії, трубопроводів, призначених для розподілу природного газу, транспортування нафти та природного газу) поза межами його земельної ділянки, розмір пайової участі у розвитку інфраструктури населеного пункту зменшується на суму їх кошторисної вартості, а такі інженерні мережі та/або об’єкти передаються у комунальну власність територіальної Широківської сільської громади. </w:t>
      </w:r>
    </w:p>
    <w:p w14:paraId="13643C99">
      <w:pPr>
        <w:jc w:val="both"/>
        <w:rPr>
          <w:lang w:val="uk-UA"/>
        </w:rPr>
      </w:pPr>
      <w:r>
        <w:rPr>
          <w:lang w:val="uk-UA"/>
        </w:rPr>
        <w:t xml:space="preserve">5.2. Розмір пайової участі у розвитку інфраструктури населеного пункту за будівництво замовником інженерних мереж або об’єктів інженерної інфраструктури не зменшується на суму їх кошторисної вартості, а виконавчий комітет Широківської сільської ради відмовляє у відшкодуванні замовнику різниці між здійсненими витратами та розміром пайової участі замовника у розвитку інфраструктури населеного пункту у разі, якщо замовник будівництва створив інженерні мережі або об’єкт інженерної інфраструктури самовільно, без необхідності, передбаченої технічними умовами. </w:t>
      </w:r>
    </w:p>
    <w:p w14:paraId="2C695001">
      <w:pPr>
        <w:jc w:val="both"/>
        <w:rPr>
          <w:lang w:val="uk-UA"/>
        </w:rPr>
      </w:pPr>
      <w:r>
        <w:rPr>
          <w:lang w:val="uk-UA"/>
        </w:rPr>
        <w:t xml:space="preserve">5.3. Широківська сільська рада не може вимагати від замовника будівництва надання будь-яких послуг, у тому числі здійснення будівництва об’єктів та передачі матеріальних або нематеріальних активів (зокрема житлових та нежитлових приміщень, у тому числі шляхом їх викупу), крім пайової участі у розвитку інфраструктури населеного пункту, передбаченої статтею </w:t>
      </w:r>
      <w:r>
        <w:t>40 Закону України «Про регулювання містобудівної діяльності», а також крім випадків, визначених пунктом 5.1. цього Порядку.</w:t>
      </w:r>
    </w:p>
    <w:p w14:paraId="4FA14DA9">
      <w:pPr>
        <w:jc w:val="both"/>
        <w:rPr>
          <w:lang w:val="uk-UA"/>
        </w:rPr>
      </w:pPr>
    </w:p>
    <w:p w14:paraId="7463E9B4">
      <w:pPr>
        <w:jc w:val="both"/>
        <w:rPr>
          <w:b/>
          <w:lang w:val="uk-UA"/>
        </w:rPr>
      </w:pPr>
      <w:r>
        <w:rPr>
          <w:b/>
        </w:rPr>
        <w:t xml:space="preserve">6. ОБ’ЄКТИ БУДІВНИЦТВА, ЗАМОВНИК ЯКИХ ДО ПАЙОВОЇ УЧАСТІ НЕ ЗАЛУЧАЄТЬСЯ </w:t>
      </w:r>
    </w:p>
    <w:p w14:paraId="37B5C1E6">
      <w:pPr>
        <w:jc w:val="both"/>
        <w:rPr>
          <w:lang w:val="uk-UA"/>
        </w:rPr>
      </w:pPr>
      <w:r>
        <w:rPr>
          <w:lang w:val="uk-UA"/>
        </w:rPr>
        <w:t xml:space="preserve">6.1. До пайової участі у розвитку інфраструктури населеного пункту не залучаються замовники у разі будівництва: </w:t>
      </w:r>
    </w:p>
    <w:p w14:paraId="309D1960">
      <w:pPr>
        <w:jc w:val="both"/>
        <w:rPr>
          <w:lang w:val="uk-UA"/>
        </w:rPr>
      </w:pPr>
      <w:r>
        <w:rPr>
          <w:lang w:val="uk-UA"/>
        </w:rPr>
        <w:t xml:space="preserve">а) об’єктів будь-якого призначення на замовлення державних органів або органів місцевого самоврядування за рахунок коштів державного або місцевих бюджетів; </w:t>
      </w:r>
    </w:p>
    <w:p w14:paraId="322F2302">
      <w:pPr>
        <w:jc w:val="both"/>
        <w:rPr>
          <w:lang w:val="uk-UA"/>
        </w:rPr>
      </w:pPr>
      <w:r>
        <w:rPr>
          <w:lang w:val="uk-UA"/>
        </w:rPr>
        <w:t xml:space="preserve">б) будівель навчальних закладів, закладів культури, фізичної культури і спорту, медичного і оздоровчого призначення; </w:t>
      </w:r>
    </w:p>
    <w:p w14:paraId="1010505A">
      <w:pPr>
        <w:jc w:val="both"/>
        <w:rPr>
          <w:lang w:val="uk-UA"/>
        </w:rPr>
      </w:pPr>
      <w:r>
        <w:rPr>
          <w:lang w:val="uk-UA"/>
        </w:rPr>
        <w:t xml:space="preserve">в) будинків житлового фонду соціального призначення та доступного житла; </w:t>
      </w:r>
    </w:p>
    <w:p w14:paraId="7AD0E6A8">
      <w:pPr>
        <w:jc w:val="both"/>
        <w:rPr>
          <w:lang w:val="uk-UA"/>
        </w:rPr>
      </w:pPr>
      <w:r>
        <w:rPr>
          <w:lang w:val="uk-UA"/>
        </w:rPr>
        <w:t xml:space="preserve">г) індивідуальних (садибних) житлових будинків, садових, дачних будинків загальною площею до 300 квадратних метрів, господарських споруд, розташованих на відповідних земельних ділянках; </w:t>
      </w:r>
    </w:p>
    <w:p w14:paraId="03524DEE">
      <w:pPr>
        <w:jc w:val="both"/>
        <w:rPr>
          <w:lang w:val="uk-UA"/>
        </w:rPr>
      </w:pPr>
      <w:r>
        <w:rPr>
          <w:lang w:val="uk-UA"/>
        </w:rPr>
        <w:t xml:space="preserve">ґ) об’єктів комплексної забудови територій, що здійснюється за результатами інвестиційних конкурсів або аукціонів; </w:t>
      </w:r>
    </w:p>
    <w:p w14:paraId="41C1FF61">
      <w:pPr>
        <w:jc w:val="both"/>
        <w:rPr>
          <w:lang w:val="uk-UA"/>
        </w:rPr>
      </w:pPr>
      <w:r>
        <w:rPr>
          <w:lang w:val="uk-UA"/>
        </w:rPr>
        <w:t xml:space="preserve">д) об’єктів будівництва за умови спорудження на цій земельній ділянці об’єктів соціальної інфраструктури; </w:t>
      </w:r>
    </w:p>
    <w:p w14:paraId="52800496">
      <w:pPr>
        <w:jc w:val="both"/>
        <w:rPr>
          <w:lang w:val="uk-UA"/>
        </w:rPr>
      </w:pPr>
      <w:r>
        <w:rPr>
          <w:lang w:val="uk-UA"/>
        </w:rPr>
        <w:t xml:space="preserve">е) об’єктів, що споруджуються замість тих, що пошкоджені або зруйновані внаслідок надзвичайних ситуацій техногенного або природного характеру; </w:t>
      </w:r>
    </w:p>
    <w:p w14:paraId="576131B7">
      <w:pPr>
        <w:jc w:val="both"/>
        <w:rPr>
          <w:lang w:val="uk-UA"/>
        </w:rPr>
      </w:pPr>
      <w:r>
        <w:rPr>
          <w:lang w:val="uk-UA"/>
        </w:rPr>
        <w:t xml:space="preserve">є) об’єктів інженерної, транспортної інфраструктури, об’єктів енергетики, зв’язку та дорожнього господарства (крім об’єктів дорожнього сервісу); </w:t>
      </w:r>
    </w:p>
    <w:p w14:paraId="2B178377">
      <w:pPr>
        <w:jc w:val="both"/>
        <w:rPr>
          <w:lang w:val="uk-UA"/>
        </w:rPr>
      </w:pPr>
      <w:r>
        <w:rPr>
          <w:lang w:val="uk-UA"/>
        </w:rPr>
        <w:t xml:space="preserve">ж) об’єктів у межах індустріальних парків на замовлення ініціаторів створення індустріальних парків, керуючих компаній індустріальних парків, учасників індустріальних парків. </w:t>
      </w:r>
    </w:p>
    <w:p w14:paraId="2C397FD9">
      <w:pPr>
        <w:jc w:val="both"/>
        <w:rPr>
          <w:lang w:val="uk-UA"/>
        </w:rPr>
      </w:pPr>
      <w:r>
        <w:t>6.2. До пайової участі у розвитку інфраструктури населеного пункту також не залучаються замовники будівництва інших об’єктів, які визначені діючим законодавством України.</w:t>
      </w:r>
    </w:p>
    <w:p w14:paraId="2289E521">
      <w:pPr>
        <w:jc w:val="both"/>
        <w:rPr>
          <w:lang w:val="uk-UA"/>
        </w:rPr>
      </w:pPr>
    </w:p>
    <w:p w14:paraId="10D6432E">
      <w:pPr>
        <w:jc w:val="both"/>
        <w:rPr>
          <w:b/>
          <w:bCs/>
          <w:lang w:val="uk-UA"/>
        </w:rPr>
      </w:pPr>
    </w:p>
    <w:p w14:paraId="329CB900">
      <w:pPr>
        <w:jc w:val="both"/>
        <w:rPr>
          <w:lang w:val="uk-UA"/>
        </w:rPr>
      </w:pPr>
      <w:r>
        <w:rPr>
          <w:b/>
          <w:bCs/>
          <w:lang w:val="uk-UA"/>
        </w:rPr>
        <w:t>7. ВИКОРИСТАННЯ КОШТІВ</w:t>
      </w:r>
    </w:p>
    <w:p w14:paraId="585751FC">
      <w:pPr>
        <w:shd w:val="clear" w:color="auto" w:fill="FFFFFF"/>
        <w:jc w:val="both"/>
        <w:rPr>
          <w:lang w:val="uk-UA"/>
        </w:rPr>
      </w:pPr>
      <w:r>
        <w:rPr>
          <w:lang w:val="uk-UA"/>
        </w:rPr>
        <w:t>7.1. Кошти, отримані як пайова участь Замовників об'єктів</w:t>
      </w:r>
      <w:r>
        <w:t> </w:t>
      </w:r>
      <w:r>
        <w:rPr>
          <w:lang w:val="uk-UA"/>
        </w:rPr>
        <w:t xml:space="preserve"> містобудування,</w:t>
      </w:r>
      <w:r>
        <w:t> </w:t>
      </w:r>
      <w:r>
        <w:rPr>
          <w:lang w:val="uk-UA"/>
        </w:rPr>
        <w:t xml:space="preserve"> можуть</w:t>
      </w:r>
      <w:r>
        <w:t> </w:t>
      </w:r>
      <w:r>
        <w:rPr>
          <w:lang w:val="uk-UA"/>
        </w:rPr>
        <w:t xml:space="preserve"> використовуватися виключно на створення і</w:t>
      </w:r>
      <w:r>
        <w:t> </w:t>
      </w:r>
      <w:r>
        <w:rPr>
          <w:lang w:val="uk-UA"/>
        </w:rPr>
        <w:t xml:space="preserve"> розвиток</w:t>
      </w:r>
      <w:r>
        <w:t> </w:t>
      </w:r>
      <w:r>
        <w:rPr>
          <w:lang w:val="uk-UA"/>
        </w:rPr>
        <w:t xml:space="preserve"> інженерно-транспортної</w:t>
      </w:r>
      <w:r>
        <w:t> </w:t>
      </w:r>
      <w:r>
        <w:rPr>
          <w:lang w:val="uk-UA"/>
        </w:rPr>
        <w:t xml:space="preserve"> та</w:t>
      </w:r>
      <w:r>
        <w:t> </w:t>
      </w:r>
      <w:r>
        <w:rPr>
          <w:lang w:val="uk-UA"/>
        </w:rPr>
        <w:t xml:space="preserve"> соціальної</w:t>
      </w:r>
      <w:r>
        <w:t>  </w:t>
      </w:r>
      <w:r>
        <w:rPr>
          <w:lang w:val="uk-UA"/>
        </w:rPr>
        <w:t xml:space="preserve"> інфраструктури</w:t>
      </w:r>
      <w:r>
        <w:t> </w:t>
      </w:r>
      <w:r>
        <w:rPr>
          <w:lang w:val="uk-UA"/>
        </w:rPr>
        <w:t xml:space="preserve"> населених пунктів Широківської сільської ради та відшкодування Замовнику різниці між здійсненими витратами на будівництво інженерних мереж та/або об’єктів інженерної інфраструктури та розміром пайової участі Замовника у розвитку інфраструктури населених пунктів Широківської сільської ради.</w:t>
      </w:r>
    </w:p>
    <w:p w14:paraId="47B5F9A2">
      <w:pPr>
        <w:shd w:val="clear" w:color="auto" w:fill="FFFFFF"/>
        <w:spacing w:line="225" w:lineRule="atLeast"/>
        <w:jc w:val="both"/>
        <w:rPr>
          <w:lang w:val="uk-UA"/>
        </w:rPr>
      </w:pPr>
      <w:r>
        <w:rPr>
          <w:lang w:val="uk-UA"/>
        </w:rPr>
        <w:t>7.2. Рішення щодо розподілу та цільового використання коштів, отриманих від Замовників будівництва як пайова участь (внесок) у створенні і розвитку інженерно-транспортної та соціальної інфраструктури, приймає Широківська сільська рада.</w:t>
      </w:r>
    </w:p>
    <w:p w14:paraId="2C78B488">
      <w:pPr>
        <w:shd w:val="clear" w:color="auto" w:fill="FFFFFF"/>
        <w:spacing w:line="225" w:lineRule="atLeast"/>
        <w:jc w:val="both"/>
        <w:rPr>
          <w:lang w:val="uk-UA"/>
        </w:rPr>
      </w:pPr>
    </w:p>
    <w:p w14:paraId="01FF8839">
      <w:pPr>
        <w:shd w:val="clear" w:color="auto" w:fill="FFFFFF"/>
        <w:spacing w:line="225" w:lineRule="atLeast"/>
        <w:jc w:val="both"/>
        <w:rPr>
          <w:b/>
          <w:lang w:val="uk-UA"/>
        </w:rPr>
      </w:pPr>
      <w:r>
        <w:rPr>
          <w:b/>
          <w:lang w:val="uk-UA"/>
        </w:rPr>
        <w:t>8. ДОБРОВІЛЬНА УЧАСТЬ ЗАМОВНИКІВ БУДІВНИЦТВА У РОЗВИТКУ ІНФРОСТРУКТУРИ</w:t>
      </w:r>
    </w:p>
    <w:p w14:paraId="4BD2A118">
      <w:pPr>
        <w:shd w:val="clear" w:color="auto" w:fill="FFFFFF"/>
        <w:spacing w:line="225" w:lineRule="atLeast"/>
        <w:jc w:val="both"/>
        <w:rPr>
          <w:lang w:val="uk-UA"/>
        </w:rPr>
      </w:pPr>
      <w:r>
        <w:rPr>
          <w:lang w:val="uk-UA"/>
        </w:rPr>
        <w:t xml:space="preserve">8.1. </w:t>
      </w:r>
      <w:r>
        <w:rPr>
          <w:rFonts w:eastAsia="Calibri"/>
          <w:lang w:val="uk-UA"/>
        </w:rPr>
        <w:t xml:space="preserve">Замовники, які здійснили будівництво </w:t>
      </w:r>
      <w:r>
        <w:rPr>
          <w:lang w:val="uk-UA"/>
        </w:rPr>
        <w:t>житлових будинків площею від 200 до 300 квадратних метрів мають право долучитися до розвитку інфраструктури населеного пункту на добровільних засадах.</w:t>
      </w:r>
    </w:p>
    <w:p w14:paraId="76E8F84A">
      <w:pPr>
        <w:shd w:val="clear" w:color="auto" w:fill="FFFFFF"/>
        <w:spacing w:line="225" w:lineRule="atLeast"/>
        <w:jc w:val="both"/>
        <w:rPr>
          <w:lang w:val="uk-UA"/>
        </w:rPr>
      </w:pPr>
    </w:p>
    <w:p w14:paraId="14568C1C">
      <w:pPr>
        <w:shd w:val="clear" w:color="auto" w:fill="FFFFFF"/>
        <w:spacing w:line="225" w:lineRule="atLeast"/>
        <w:jc w:val="both"/>
        <w:rPr>
          <w:b/>
          <w:lang w:val="uk-UA"/>
        </w:rPr>
      </w:pPr>
      <w:r>
        <w:rPr>
          <w:b/>
          <w:lang w:val="uk-UA"/>
        </w:rPr>
        <w:t xml:space="preserve">9. ПРИКІНЦЕВІ ПОЛОЖЕННЯ </w:t>
      </w:r>
    </w:p>
    <w:p w14:paraId="093FEBD6">
      <w:pPr>
        <w:shd w:val="clear" w:color="auto" w:fill="FFFFFF"/>
        <w:spacing w:line="225" w:lineRule="atLeast"/>
        <w:jc w:val="both"/>
        <w:rPr>
          <w:lang w:val="uk-UA"/>
        </w:rPr>
      </w:pPr>
      <w:r>
        <w:rPr>
          <w:lang w:val="uk-UA"/>
        </w:rPr>
        <w:t xml:space="preserve">9.1. Дія цього Порядку поширюється на всіх замовників, які мають намір щодо забудови у населених пунктах Широківської сільської ради, на посадових осіб Широківської сільської ради, а також на інших осіб в питаннях, пов’язаних із залученням і використанням коштів пайової участі у створені і розвитку соціальної та інженерно- транспортної інфраструктури населених пунктів Широківської сільської ради. </w:t>
      </w:r>
    </w:p>
    <w:p w14:paraId="3D03C4DE">
      <w:pPr>
        <w:shd w:val="clear" w:color="auto" w:fill="FFFFFF"/>
        <w:spacing w:line="225" w:lineRule="atLeast"/>
        <w:jc w:val="both"/>
        <w:rPr>
          <w:lang w:val="uk-UA"/>
        </w:rPr>
      </w:pPr>
      <w:r>
        <w:rPr>
          <w:lang w:val="uk-UA"/>
        </w:rPr>
        <w:t>9.2. Спори, пов’язані з пайовою участю замовника будівництва у створені і розвитку соціальної та інженерно-транспортної інфраструктури населених пунктів Широківської сільської ради, вирішуються у судовому порядку.</w:t>
      </w:r>
    </w:p>
    <w:p w14:paraId="16E8A394">
      <w:pPr>
        <w:jc w:val="both"/>
        <w:rPr>
          <w:lang w:val="uk-UA"/>
        </w:rPr>
      </w:pPr>
    </w:p>
    <w:p w14:paraId="6808DD0A">
      <w:pPr>
        <w:jc w:val="both"/>
        <w:rPr>
          <w:lang w:val="uk-UA"/>
        </w:rPr>
      </w:pPr>
    </w:p>
    <w:p w14:paraId="5D7A5645">
      <w:pPr>
        <w:jc w:val="both"/>
        <w:rPr>
          <w:lang w:val="uk-UA"/>
        </w:rPr>
      </w:pPr>
    </w:p>
    <w:p w14:paraId="65A39C32">
      <w:pPr>
        <w:jc w:val="both"/>
        <w:rPr>
          <w:lang w:val="uk-UA"/>
        </w:rPr>
      </w:pPr>
    </w:p>
    <w:p w14:paraId="4721D3AC">
      <w:pPr>
        <w:jc w:val="both"/>
        <w:rPr>
          <w:lang w:val="uk-UA"/>
        </w:rPr>
      </w:pPr>
    </w:p>
    <w:p w14:paraId="3E7878D1">
      <w:pPr>
        <w:jc w:val="both"/>
        <w:rPr>
          <w:lang w:val="uk-UA"/>
        </w:rPr>
      </w:pPr>
    </w:p>
    <w:p w14:paraId="1DD223A2">
      <w:pPr>
        <w:jc w:val="both"/>
        <w:rPr>
          <w:lang w:val="uk-UA"/>
        </w:rPr>
      </w:pPr>
    </w:p>
    <w:p w14:paraId="1AD6B6E4">
      <w:pPr>
        <w:jc w:val="both"/>
        <w:rPr>
          <w:lang w:val="uk-UA"/>
        </w:rPr>
      </w:pPr>
    </w:p>
    <w:p w14:paraId="09579FC7">
      <w:pPr>
        <w:jc w:val="both"/>
        <w:rPr>
          <w:lang w:val="uk-UA"/>
        </w:rPr>
      </w:pPr>
    </w:p>
    <w:p w14:paraId="314FFF1F">
      <w:pPr>
        <w:jc w:val="both"/>
        <w:rPr>
          <w:lang w:val="uk-UA"/>
        </w:rPr>
      </w:pPr>
    </w:p>
    <w:p w14:paraId="227C9212">
      <w:pPr>
        <w:jc w:val="both"/>
        <w:rPr>
          <w:lang w:val="uk-UA"/>
        </w:rPr>
      </w:pPr>
    </w:p>
    <w:p w14:paraId="1A5CA44D">
      <w:pPr>
        <w:jc w:val="both"/>
        <w:rPr>
          <w:lang w:val="uk-UA"/>
        </w:rPr>
      </w:pPr>
    </w:p>
    <w:p w14:paraId="47533118">
      <w:pPr>
        <w:jc w:val="both"/>
        <w:rPr>
          <w:lang w:val="uk-UA"/>
        </w:rPr>
      </w:pPr>
    </w:p>
    <w:p w14:paraId="176E82B0">
      <w:pPr>
        <w:jc w:val="both"/>
        <w:rPr>
          <w:lang w:val="uk-UA"/>
        </w:rPr>
      </w:pPr>
    </w:p>
    <w:p w14:paraId="23F195DE">
      <w:pPr>
        <w:jc w:val="both"/>
        <w:rPr>
          <w:lang w:val="uk-UA"/>
        </w:rPr>
      </w:pPr>
    </w:p>
    <w:p w14:paraId="45EAC36E">
      <w:pPr>
        <w:jc w:val="both"/>
        <w:rPr>
          <w:lang w:val="uk-UA"/>
        </w:rPr>
      </w:pPr>
    </w:p>
    <w:p w14:paraId="348ECAEC">
      <w:pPr>
        <w:jc w:val="both"/>
        <w:rPr>
          <w:lang w:val="uk-UA"/>
        </w:rPr>
      </w:pPr>
    </w:p>
    <w:p w14:paraId="217BD6F3">
      <w:pPr>
        <w:jc w:val="both"/>
        <w:rPr>
          <w:lang w:val="uk-UA"/>
        </w:rPr>
      </w:pPr>
    </w:p>
    <w:p w14:paraId="4ECD20DC">
      <w:pPr>
        <w:jc w:val="both"/>
        <w:rPr>
          <w:lang w:val="uk-UA"/>
        </w:rPr>
      </w:pPr>
    </w:p>
    <w:p w14:paraId="0A75FBA2">
      <w:pPr>
        <w:jc w:val="both"/>
        <w:rPr>
          <w:lang w:val="uk-UA"/>
        </w:rPr>
      </w:pPr>
    </w:p>
    <w:p w14:paraId="719F6AF5">
      <w:pPr>
        <w:jc w:val="both"/>
        <w:rPr>
          <w:lang w:val="uk-UA"/>
        </w:rPr>
      </w:pPr>
    </w:p>
    <w:p w14:paraId="609F666B">
      <w:pPr>
        <w:jc w:val="both"/>
        <w:rPr>
          <w:lang w:val="uk-UA"/>
        </w:rPr>
      </w:pPr>
    </w:p>
    <w:p w14:paraId="70C22F66">
      <w:pPr>
        <w:jc w:val="both"/>
        <w:rPr>
          <w:lang w:val="uk-UA"/>
        </w:rPr>
      </w:pPr>
    </w:p>
    <w:p w14:paraId="4C586895">
      <w:pPr>
        <w:jc w:val="both"/>
        <w:rPr>
          <w:lang w:val="uk-UA"/>
        </w:rPr>
      </w:pPr>
    </w:p>
    <w:p w14:paraId="7FF6EA4B">
      <w:pPr>
        <w:jc w:val="both"/>
        <w:rPr>
          <w:lang w:val="uk-UA"/>
        </w:rPr>
      </w:pPr>
    </w:p>
    <w:p w14:paraId="0434974F">
      <w:pPr>
        <w:jc w:val="both"/>
        <w:rPr>
          <w:lang w:val="uk-UA"/>
        </w:rPr>
      </w:pPr>
    </w:p>
    <w:p w14:paraId="2808F6C7">
      <w:pPr>
        <w:jc w:val="both"/>
        <w:rPr>
          <w:lang w:val="uk-UA"/>
        </w:rPr>
      </w:pPr>
    </w:p>
    <w:p w14:paraId="39B33F35">
      <w:pPr>
        <w:ind w:left="5812"/>
        <w:jc w:val="both"/>
        <w:rPr>
          <w:sz w:val="28"/>
          <w:szCs w:val="28"/>
          <w:lang w:val="uk-UA"/>
        </w:rPr>
      </w:pPr>
    </w:p>
    <w:p w14:paraId="3F680CF1">
      <w:pPr>
        <w:ind w:left="5812"/>
        <w:jc w:val="both"/>
        <w:rPr>
          <w:sz w:val="28"/>
          <w:szCs w:val="28"/>
          <w:lang w:val="uk-UA"/>
        </w:rPr>
      </w:pPr>
    </w:p>
    <w:p w14:paraId="586EEF17">
      <w:pPr>
        <w:ind w:left="5812"/>
        <w:jc w:val="both"/>
        <w:rPr>
          <w:sz w:val="28"/>
          <w:szCs w:val="28"/>
          <w:lang w:val="uk-UA"/>
        </w:rPr>
      </w:pPr>
    </w:p>
    <w:p w14:paraId="3F91C2A1">
      <w:pPr>
        <w:ind w:left="5812"/>
        <w:jc w:val="both"/>
        <w:rPr>
          <w:sz w:val="28"/>
          <w:szCs w:val="28"/>
          <w:lang w:val="uk-UA"/>
        </w:rPr>
      </w:pPr>
    </w:p>
    <w:p w14:paraId="3E79FD75">
      <w:pPr>
        <w:ind w:left="5812"/>
        <w:jc w:val="both"/>
        <w:rPr>
          <w:sz w:val="28"/>
          <w:szCs w:val="28"/>
          <w:lang w:val="uk-UA"/>
        </w:rPr>
      </w:pPr>
    </w:p>
    <w:p w14:paraId="10CD8D96">
      <w:pPr>
        <w:tabs>
          <w:tab w:val="left" w:pos="5505"/>
        </w:tabs>
        <w:spacing w:line="240" w:lineRule="exact"/>
        <w:jc w:val="center"/>
        <w:rPr>
          <w:sz w:val="26"/>
          <w:szCs w:val="26"/>
          <w:lang w:val="uk-UA"/>
        </w:rPr>
      </w:pPr>
      <w:r>
        <w:rPr>
          <w:sz w:val="26"/>
          <w:szCs w:val="26"/>
          <w:lang w:val="uk-UA"/>
        </w:rPr>
        <w:t xml:space="preserve">Н О Р М А Т И В И </w:t>
      </w:r>
    </w:p>
    <w:p w14:paraId="33ABFA98">
      <w:pPr>
        <w:tabs>
          <w:tab w:val="left" w:pos="5505"/>
        </w:tabs>
        <w:spacing w:line="240" w:lineRule="exact"/>
        <w:jc w:val="center"/>
        <w:rPr>
          <w:sz w:val="26"/>
          <w:szCs w:val="26"/>
          <w:lang w:val="uk-UA"/>
        </w:rPr>
      </w:pPr>
      <w:r>
        <w:rPr>
          <w:sz w:val="26"/>
          <w:szCs w:val="26"/>
          <w:lang w:val="uk-UA"/>
        </w:rPr>
        <w:t xml:space="preserve">для розрахунку розміру пайової участі у розвитку </w:t>
      </w:r>
    </w:p>
    <w:p w14:paraId="02651122">
      <w:pPr>
        <w:tabs>
          <w:tab w:val="left" w:pos="5505"/>
        </w:tabs>
        <w:spacing w:line="240" w:lineRule="exact"/>
        <w:jc w:val="center"/>
        <w:rPr>
          <w:sz w:val="26"/>
          <w:szCs w:val="26"/>
          <w:lang w:val="uk-UA"/>
        </w:rPr>
      </w:pPr>
      <w:r>
        <w:rPr>
          <w:sz w:val="26"/>
          <w:szCs w:val="26"/>
          <w:lang w:val="uk-UA"/>
        </w:rPr>
        <w:t>інженерно-транспортної та соціальної інфраструктури Населених пунктів</w:t>
      </w:r>
    </w:p>
    <w:p w14:paraId="2A8DFC08">
      <w:pPr>
        <w:tabs>
          <w:tab w:val="left" w:pos="5505"/>
        </w:tabs>
        <w:spacing w:line="240" w:lineRule="exact"/>
        <w:jc w:val="center"/>
        <w:rPr>
          <w:sz w:val="26"/>
          <w:szCs w:val="26"/>
          <w:lang w:val="uk-UA"/>
        </w:rPr>
      </w:pPr>
      <w:r>
        <w:rPr>
          <w:sz w:val="26"/>
          <w:szCs w:val="26"/>
          <w:lang w:val="uk-UA"/>
        </w:rPr>
        <w:t>Широківської сільської ради</w:t>
      </w:r>
    </w:p>
    <w:p w14:paraId="5444EF8F">
      <w:pPr>
        <w:tabs>
          <w:tab w:val="left" w:pos="5505"/>
        </w:tabs>
        <w:spacing w:line="240" w:lineRule="exact"/>
        <w:jc w:val="center"/>
        <w:rPr>
          <w:sz w:val="26"/>
          <w:szCs w:val="26"/>
          <w:lang w:val="uk-UA"/>
        </w:rPr>
      </w:pPr>
    </w:p>
    <w:p w14:paraId="13035D30">
      <w:pPr>
        <w:tabs>
          <w:tab w:val="left" w:pos="5505"/>
        </w:tabs>
        <w:spacing w:line="240" w:lineRule="exact"/>
        <w:jc w:val="center"/>
        <w:rPr>
          <w:sz w:val="26"/>
          <w:szCs w:val="26"/>
          <w:lang w:val="uk-UA"/>
        </w:rPr>
      </w:pPr>
    </w:p>
    <w:tbl>
      <w:tblPr>
        <w:tblStyle w:val="3"/>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2"/>
        <w:gridCol w:w="2160"/>
        <w:gridCol w:w="1746"/>
        <w:gridCol w:w="1260"/>
        <w:gridCol w:w="1260"/>
      </w:tblGrid>
      <w:tr w14:paraId="5A24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7" w:hRule="atLeast"/>
        </w:trPr>
        <w:tc>
          <w:tcPr>
            <w:tcW w:w="3402" w:type="dxa"/>
            <w:tcBorders>
              <w:top w:val="single" w:color="auto" w:sz="4" w:space="0"/>
              <w:left w:val="single" w:color="auto" w:sz="4" w:space="0"/>
              <w:bottom w:val="single" w:color="auto" w:sz="4" w:space="0"/>
              <w:right w:val="single" w:color="auto" w:sz="4" w:space="0"/>
            </w:tcBorders>
            <w:vAlign w:val="center"/>
          </w:tcPr>
          <w:p w14:paraId="6AE2A5C9">
            <w:pPr>
              <w:tabs>
                <w:tab w:val="left" w:pos="5505"/>
              </w:tabs>
              <w:spacing w:line="240" w:lineRule="exact"/>
              <w:jc w:val="center"/>
              <w:rPr>
                <w:sz w:val="26"/>
                <w:szCs w:val="26"/>
                <w:lang w:val="uk-UA"/>
              </w:rPr>
            </w:pPr>
            <w:r>
              <w:rPr>
                <w:sz w:val="26"/>
                <w:szCs w:val="26"/>
                <w:lang w:val="uk-UA"/>
              </w:rPr>
              <w:t xml:space="preserve">Функціональне призначення об'єкта </w:t>
            </w:r>
          </w:p>
        </w:tc>
        <w:tc>
          <w:tcPr>
            <w:tcW w:w="2160" w:type="dxa"/>
            <w:tcBorders>
              <w:top w:val="single" w:color="auto" w:sz="4" w:space="0"/>
              <w:left w:val="single" w:color="auto" w:sz="4" w:space="0"/>
              <w:bottom w:val="single" w:color="auto" w:sz="4" w:space="0"/>
              <w:right w:val="single" w:color="auto" w:sz="4" w:space="0"/>
            </w:tcBorders>
            <w:vAlign w:val="center"/>
          </w:tcPr>
          <w:p w14:paraId="16DABCFF">
            <w:pPr>
              <w:tabs>
                <w:tab w:val="left" w:pos="5505"/>
              </w:tabs>
              <w:spacing w:line="240" w:lineRule="exact"/>
              <w:jc w:val="center"/>
              <w:rPr>
                <w:sz w:val="26"/>
                <w:szCs w:val="26"/>
                <w:lang w:val="uk-UA"/>
              </w:rPr>
            </w:pPr>
            <w:r>
              <w:rPr>
                <w:sz w:val="26"/>
                <w:szCs w:val="26"/>
                <w:lang w:val="uk-UA"/>
              </w:rPr>
              <w:t xml:space="preserve">Код об’єкту </w:t>
            </w:r>
            <w:r>
              <w:rPr>
                <w:spacing w:val="-8"/>
                <w:sz w:val="26"/>
                <w:szCs w:val="26"/>
                <w:lang w:val="uk-UA"/>
              </w:rPr>
              <w:t>(згідно з державним</w:t>
            </w:r>
            <w:r>
              <w:rPr>
                <w:sz w:val="26"/>
                <w:szCs w:val="26"/>
                <w:lang w:val="uk-UA"/>
              </w:rPr>
              <w:t xml:space="preserve"> класифікатором будівель та споруд ДК 018-2000)</w:t>
            </w:r>
          </w:p>
        </w:tc>
        <w:tc>
          <w:tcPr>
            <w:tcW w:w="1746" w:type="dxa"/>
            <w:tcBorders>
              <w:top w:val="single" w:color="auto" w:sz="4" w:space="0"/>
              <w:left w:val="single" w:color="auto" w:sz="4" w:space="0"/>
              <w:bottom w:val="single" w:color="auto" w:sz="4" w:space="0"/>
              <w:right w:val="single" w:color="auto" w:sz="4" w:space="0"/>
            </w:tcBorders>
            <w:vAlign w:val="center"/>
          </w:tcPr>
          <w:p w14:paraId="137078E4">
            <w:pPr>
              <w:tabs>
                <w:tab w:val="left" w:pos="5505"/>
              </w:tabs>
              <w:spacing w:line="240" w:lineRule="exact"/>
              <w:jc w:val="center"/>
              <w:rPr>
                <w:sz w:val="26"/>
                <w:szCs w:val="26"/>
                <w:lang w:val="uk-UA"/>
              </w:rPr>
            </w:pPr>
            <w:r>
              <w:rPr>
                <w:sz w:val="26"/>
                <w:szCs w:val="26"/>
                <w:lang w:val="uk-UA"/>
              </w:rPr>
              <w:t xml:space="preserve">Одиниця виміру потужності </w:t>
            </w:r>
          </w:p>
        </w:tc>
        <w:tc>
          <w:tcPr>
            <w:tcW w:w="2520" w:type="dxa"/>
            <w:gridSpan w:val="2"/>
            <w:tcBorders>
              <w:top w:val="single" w:color="auto" w:sz="4" w:space="0"/>
              <w:left w:val="single" w:color="auto" w:sz="4" w:space="0"/>
              <w:bottom w:val="single" w:color="auto" w:sz="4" w:space="0"/>
              <w:right w:val="single" w:color="auto" w:sz="4" w:space="0"/>
            </w:tcBorders>
            <w:vAlign w:val="center"/>
          </w:tcPr>
          <w:p w14:paraId="2CCDA87B">
            <w:pPr>
              <w:tabs>
                <w:tab w:val="left" w:pos="5505"/>
              </w:tabs>
              <w:spacing w:line="240" w:lineRule="exact"/>
              <w:jc w:val="center"/>
              <w:rPr>
                <w:sz w:val="26"/>
                <w:szCs w:val="26"/>
                <w:lang w:val="uk-UA"/>
              </w:rPr>
            </w:pPr>
            <w:r>
              <w:rPr>
                <w:sz w:val="26"/>
                <w:szCs w:val="26"/>
                <w:lang w:val="uk-UA"/>
              </w:rPr>
              <w:t>Норматив ціни для одиниці створеної потужності</w:t>
            </w:r>
          </w:p>
          <w:p w14:paraId="1512E7EC">
            <w:pPr>
              <w:tabs>
                <w:tab w:val="left" w:pos="5505"/>
              </w:tabs>
              <w:spacing w:line="240" w:lineRule="exact"/>
              <w:jc w:val="center"/>
              <w:rPr>
                <w:sz w:val="26"/>
                <w:szCs w:val="26"/>
                <w:lang w:val="uk-UA"/>
              </w:rPr>
            </w:pPr>
            <w:r>
              <w:rPr>
                <w:sz w:val="26"/>
                <w:szCs w:val="26"/>
                <w:lang w:val="uk-UA"/>
              </w:rPr>
              <w:t>(грн.)</w:t>
            </w:r>
          </w:p>
        </w:tc>
      </w:tr>
      <w:tr w14:paraId="0B92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1D89D5E3">
            <w:pPr>
              <w:spacing w:line="240" w:lineRule="exact"/>
              <w:rPr>
                <w:b/>
                <w:sz w:val="26"/>
                <w:szCs w:val="26"/>
                <w:lang w:val="uk-UA"/>
              </w:rPr>
            </w:pPr>
            <w:r>
              <w:rPr>
                <w:b/>
                <w:sz w:val="26"/>
                <w:szCs w:val="26"/>
                <w:lang w:val="uk-UA"/>
              </w:rPr>
              <w:t>Будівлі житлові</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06F2E81B">
            <w:pPr>
              <w:tabs>
                <w:tab w:val="left" w:pos="5505"/>
              </w:tabs>
              <w:spacing w:line="240" w:lineRule="exact"/>
              <w:jc w:val="center"/>
              <w:rPr>
                <w:sz w:val="26"/>
                <w:szCs w:val="26"/>
                <w:lang w:val="uk-UA"/>
              </w:rPr>
            </w:pPr>
            <w:r>
              <w:rPr>
                <w:sz w:val="26"/>
                <w:szCs w:val="26"/>
                <w:lang w:val="uk-UA"/>
              </w:rPr>
              <w:t>11</w:t>
            </w:r>
          </w:p>
        </w:tc>
        <w:tc>
          <w:tcPr>
            <w:tcW w:w="1746" w:type="dxa"/>
            <w:tcBorders>
              <w:top w:val="single" w:color="auto" w:sz="4" w:space="0"/>
              <w:left w:val="single" w:color="auto" w:sz="4" w:space="0"/>
              <w:bottom w:val="single" w:color="auto" w:sz="4" w:space="0"/>
              <w:right w:val="single" w:color="auto" w:sz="4" w:space="0"/>
            </w:tcBorders>
            <w:shd w:val="clear" w:color="auto" w:fill="auto"/>
            <w:vAlign w:val="center"/>
          </w:tcPr>
          <w:p w14:paraId="1DA0D99F">
            <w:pPr>
              <w:tabs>
                <w:tab w:val="left" w:pos="5505"/>
              </w:tabs>
              <w:spacing w:line="240" w:lineRule="exact"/>
              <w:jc w:val="center"/>
              <w:rPr>
                <w:sz w:val="26"/>
                <w:szCs w:val="26"/>
                <w:lang w:val="uk-UA"/>
              </w:rPr>
            </w:pPr>
            <w:r>
              <w:rPr>
                <w:sz w:val="26"/>
                <w:szCs w:val="26"/>
                <w:lang w:val="uk-UA"/>
              </w:rPr>
              <w:t>м</w:t>
            </w:r>
            <w:r>
              <w:rPr>
                <w:sz w:val="26"/>
                <w:szCs w:val="26"/>
                <w:vertAlign w:val="superscript"/>
                <w:lang w:val="uk-UA"/>
              </w:rPr>
              <w:t xml:space="preserve">2 </w:t>
            </w:r>
            <w:r>
              <w:rPr>
                <w:sz w:val="26"/>
                <w:szCs w:val="26"/>
                <w:lang w:val="uk-UA"/>
              </w:rPr>
              <w:t>загальної площі</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468FFD0A">
            <w:pPr>
              <w:tabs>
                <w:tab w:val="left" w:pos="5505"/>
              </w:tabs>
              <w:spacing w:line="240" w:lineRule="exact"/>
              <w:ind w:left="-164" w:firstLine="56"/>
              <w:jc w:val="center"/>
              <w:rPr>
                <w:sz w:val="26"/>
                <w:szCs w:val="26"/>
                <w:lang w:val="uk-UA"/>
              </w:rPr>
            </w:pPr>
            <w:r>
              <w:rPr>
                <w:sz w:val="26"/>
                <w:szCs w:val="26"/>
                <w:lang w:val="uk-UA"/>
              </w:rPr>
              <w:t>Реконструкція</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BC3C398">
            <w:pPr>
              <w:tabs>
                <w:tab w:val="left" w:pos="5505"/>
              </w:tabs>
              <w:spacing w:line="240" w:lineRule="exact"/>
              <w:ind w:left="-164" w:firstLine="56"/>
              <w:jc w:val="center"/>
              <w:rPr>
                <w:sz w:val="26"/>
                <w:szCs w:val="26"/>
                <w:lang w:val="uk-UA"/>
              </w:rPr>
            </w:pPr>
            <w:r>
              <w:rPr>
                <w:sz w:val="26"/>
                <w:szCs w:val="26"/>
                <w:lang w:val="uk-UA"/>
              </w:rPr>
              <w:t>Нове будівни-цтво</w:t>
            </w:r>
          </w:p>
        </w:tc>
      </w:tr>
      <w:tr w14:paraId="068A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3402" w:type="dxa"/>
            <w:tcBorders>
              <w:top w:val="single" w:color="auto" w:sz="4" w:space="0"/>
              <w:left w:val="single" w:color="auto" w:sz="4" w:space="0"/>
              <w:bottom w:val="single" w:color="auto" w:sz="4" w:space="0"/>
              <w:right w:val="single" w:color="auto" w:sz="4" w:space="0"/>
            </w:tcBorders>
            <w:vAlign w:val="center"/>
          </w:tcPr>
          <w:p w14:paraId="6584276D">
            <w:pPr>
              <w:spacing w:line="240" w:lineRule="exact"/>
              <w:rPr>
                <w:sz w:val="26"/>
                <w:szCs w:val="26"/>
                <w:lang w:val="uk-UA"/>
              </w:rPr>
            </w:pPr>
            <w:r>
              <w:rPr>
                <w:sz w:val="26"/>
                <w:szCs w:val="26"/>
                <w:lang w:val="uk-UA"/>
              </w:rPr>
              <w:t>Будинки садибного типу, дачні та садові (загальною площею більш 300 м</w:t>
            </w:r>
            <w:r>
              <w:rPr>
                <w:sz w:val="26"/>
                <w:szCs w:val="26"/>
                <w:vertAlign w:val="superscript"/>
                <w:lang w:val="uk-UA"/>
              </w:rPr>
              <w:t>2</w:t>
            </w:r>
            <w:r>
              <w:rPr>
                <w:sz w:val="26"/>
                <w:szCs w:val="26"/>
                <w:lang w:val="uk-UA"/>
              </w:rPr>
              <w:t>)</w:t>
            </w:r>
          </w:p>
        </w:tc>
        <w:tc>
          <w:tcPr>
            <w:tcW w:w="2160" w:type="dxa"/>
            <w:tcBorders>
              <w:top w:val="single" w:color="auto" w:sz="4" w:space="0"/>
              <w:left w:val="single" w:color="auto" w:sz="4" w:space="0"/>
              <w:bottom w:val="single" w:color="auto" w:sz="4" w:space="0"/>
              <w:right w:val="single" w:color="auto" w:sz="4" w:space="0"/>
            </w:tcBorders>
            <w:vAlign w:val="center"/>
          </w:tcPr>
          <w:p w14:paraId="33817D37">
            <w:pPr>
              <w:tabs>
                <w:tab w:val="left" w:pos="5505"/>
              </w:tabs>
              <w:spacing w:line="240" w:lineRule="exact"/>
              <w:jc w:val="center"/>
              <w:rPr>
                <w:sz w:val="26"/>
                <w:szCs w:val="26"/>
                <w:lang w:val="uk-UA"/>
              </w:rPr>
            </w:pPr>
            <w:r>
              <w:rPr>
                <w:sz w:val="26"/>
                <w:szCs w:val="26"/>
                <w:lang w:val="uk-UA"/>
              </w:rPr>
              <w:t>1110</w:t>
            </w:r>
          </w:p>
        </w:tc>
        <w:tc>
          <w:tcPr>
            <w:tcW w:w="1746" w:type="dxa"/>
            <w:tcBorders>
              <w:top w:val="single" w:color="auto" w:sz="4" w:space="0"/>
              <w:left w:val="single" w:color="auto" w:sz="4" w:space="0"/>
              <w:bottom w:val="single" w:color="auto" w:sz="4" w:space="0"/>
              <w:right w:val="single" w:color="auto" w:sz="4" w:space="0"/>
            </w:tcBorders>
            <w:vAlign w:val="center"/>
          </w:tcPr>
          <w:p w14:paraId="64D40F5D">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23740F06">
            <w:pPr>
              <w:tabs>
                <w:tab w:val="left" w:pos="5505"/>
              </w:tabs>
              <w:spacing w:line="240" w:lineRule="exact"/>
              <w:ind w:left="-164" w:firstLine="328"/>
              <w:rPr>
                <w:sz w:val="26"/>
                <w:szCs w:val="26"/>
                <w:lang w:val="uk-UA"/>
              </w:rPr>
            </w:pPr>
            <w:r>
              <w:rPr>
                <w:sz w:val="26"/>
                <w:szCs w:val="26"/>
                <w:lang w:val="uk-UA"/>
              </w:rPr>
              <w:t>4474,0</w:t>
            </w:r>
          </w:p>
        </w:tc>
        <w:tc>
          <w:tcPr>
            <w:tcW w:w="1260" w:type="dxa"/>
            <w:tcBorders>
              <w:top w:val="single" w:color="auto" w:sz="4" w:space="0"/>
              <w:left w:val="single" w:color="auto" w:sz="4" w:space="0"/>
              <w:bottom w:val="single" w:color="auto" w:sz="4" w:space="0"/>
              <w:right w:val="single" w:color="auto" w:sz="4" w:space="0"/>
            </w:tcBorders>
            <w:vAlign w:val="center"/>
          </w:tcPr>
          <w:p w14:paraId="74C88CE5">
            <w:pPr>
              <w:tabs>
                <w:tab w:val="left" w:pos="5505"/>
              </w:tabs>
              <w:spacing w:line="240" w:lineRule="exact"/>
              <w:jc w:val="center"/>
              <w:rPr>
                <w:sz w:val="26"/>
                <w:szCs w:val="26"/>
                <w:lang w:val="uk-UA"/>
              </w:rPr>
            </w:pPr>
            <w:r>
              <w:rPr>
                <w:sz w:val="26"/>
                <w:szCs w:val="26"/>
                <w:lang w:val="uk-UA"/>
              </w:rPr>
              <w:t>8948,0</w:t>
            </w:r>
          </w:p>
        </w:tc>
      </w:tr>
      <w:tr w14:paraId="6226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3402" w:type="dxa"/>
            <w:tcBorders>
              <w:top w:val="single" w:color="auto" w:sz="4" w:space="0"/>
              <w:left w:val="single" w:color="auto" w:sz="4" w:space="0"/>
              <w:bottom w:val="single" w:color="auto" w:sz="4" w:space="0"/>
              <w:right w:val="single" w:color="auto" w:sz="4" w:space="0"/>
            </w:tcBorders>
            <w:vAlign w:val="center"/>
          </w:tcPr>
          <w:p w14:paraId="394D1220">
            <w:pPr>
              <w:spacing w:line="240" w:lineRule="exact"/>
              <w:rPr>
                <w:sz w:val="26"/>
                <w:szCs w:val="26"/>
                <w:lang w:val="uk-UA"/>
              </w:rPr>
            </w:pPr>
            <w:r>
              <w:rPr>
                <w:sz w:val="26"/>
                <w:szCs w:val="26"/>
                <w:lang w:val="uk-UA"/>
              </w:rPr>
              <w:t>Будинки багатоквартирні масової забудови</w:t>
            </w:r>
          </w:p>
        </w:tc>
        <w:tc>
          <w:tcPr>
            <w:tcW w:w="2160" w:type="dxa"/>
            <w:tcBorders>
              <w:top w:val="single" w:color="auto" w:sz="4" w:space="0"/>
              <w:left w:val="single" w:color="auto" w:sz="4" w:space="0"/>
              <w:bottom w:val="single" w:color="auto" w:sz="4" w:space="0"/>
              <w:right w:val="single" w:color="auto" w:sz="4" w:space="0"/>
            </w:tcBorders>
            <w:vAlign w:val="center"/>
          </w:tcPr>
          <w:p w14:paraId="41F22CFD">
            <w:pPr>
              <w:tabs>
                <w:tab w:val="left" w:pos="5505"/>
              </w:tabs>
              <w:spacing w:line="240" w:lineRule="exact"/>
              <w:jc w:val="center"/>
              <w:rPr>
                <w:sz w:val="26"/>
                <w:szCs w:val="26"/>
                <w:lang w:val="uk-UA"/>
              </w:rPr>
            </w:pPr>
            <w:r>
              <w:rPr>
                <w:sz w:val="26"/>
                <w:szCs w:val="26"/>
                <w:lang w:val="uk-UA"/>
              </w:rPr>
              <w:t>1122</w:t>
            </w:r>
          </w:p>
        </w:tc>
        <w:tc>
          <w:tcPr>
            <w:tcW w:w="1746" w:type="dxa"/>
            <w:tcBorders>
              <w:top w:val="single" w:color="auto" w:sz="4" w:space="0"/>
              <w:left w:val="single" w:color="auto" w:sz="4" w:space="0"/>
              <w:bottom w:val="single" w:color="auto" w:sz="4" w:space="0"/>
              <w:right w:val="single" w:color="auto" w:sz="4" w:space="0"/>
            </w:tcBorders>
            <w:vAlign w:val="center"/>
          </w:tcPr>
          <w:p w14:paraId="2BF88EBF">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508BE4B7">
            <w:pPr>
              <w:tabs>
                <w:tab w:val="left" w:pos="5505"/>
              </w:tabs>
              <w:spacing w:line="240" w:lineRule="exact"/>
              <w:ind w:left="-164" w:firstLine="328"/>
              <w:rPr>
                <w:sz w:val="26"/>
                <w:szCs w:val="26"/>
                <w:lang w:val="uk-UA"/>
              </w:rPr>
            </w:pPr>
            <w:r>
              <w:rPr>
                <w:sz w:val="26"/>
                <w:szCs w:val="26"/>
                <w:lang w:val="uk-UA"/>
              </w:rPr>
              <w:t>2775,5</w:t>
            </w:r>
          </w:p>
        </w:tc>
        <w:tc>
          <w:tcPr>
            <w:tcW w:w="1260" w:type="dxa"/>
            <w:tcBorders>
              <w:top w:val="single" w:color="auto" w:sz="4" w:space="0"/>
              <w:left w:val="single" w:color="auto" w:sz="4" w:space="0"/>
              <w:bottom w:val="single" w:color="auto" w:sz="4" w:space="0"/>
              <w:right w:val="single" w:color="auto" w:sz="4" w:space="0"/>
            </w:tcBorders>
            <w:vAlign w:val="center"/>
          </w:tcPr>
          <w:p w14:paraId="61C0A09D">
            <w:pPr>
              <w:tabs>
                <w:tab w:val="left" w:pos="5505"/>
              </w:tabs>
              <w:spacing w:line="240" w:lineRule="exact"/>
              <w:jc w:val="center"/>
              <w:rPr>
                <w:sz w:val="26"/>
                <w:szCs w:val="26"/>
                <w:lang w:val="uk-UA"/>
              </w:rPr>
            </w:pPr>
            <w:r>
              <w:rPr>
                <w:sz w:val="26"/>
                <w:szCs w:val="26"/>
                <w:lang w:val="uk-UA"/>
              </w:rPr>
              <w:t>5551,0</w:t>
            </w:r>
          </w:p>
        </w:tc>
      </w:tr>
      <w:tr w14:paraId="67F2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514F636E">
            <w:pPr>
              <w:spacing w:line="240" w:lineRule="exact"/>
              <w:rPr>
                <w:b/>
                <w:sz w:val="26"/>
                <w:szCs w:val="26"/>
                <w:lang w:val="uk-UA"/>
              </w:rPr>
            </w:pPr>
            <w:r>
              <w:rPr>
                <w:b/>
                <w:sz w:val="26"/>
                <w:szCs w:val="26"/>
                <w:lang w:val="uk-UA"/>
              </w:rPr>
              <w:t>Будівлі нежитлові</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3FE7B64F">
            <w:pPr>
              <w:tabs>
                <w:tab w:val="left" w:pos="5505"/>
              </w:tabs>
              <w:spacing w:line="240" w:lineRule="exact"/>
              <w:jc w:val="center"/>
              <w:rPr>
                <w:sz w:val="26"/>
                <w:szCs w:val="26"/>
                <w:lang w:val="uk-UA"/>
              </w:rPr>
            </w:pPr>
            <w:r>
              <w:rPr>
                <w:sz w:val="26"/>
                <w:szCs w:val="26"/>
                <w:lang w:val="uk-UA"/>
              </w:rPr>
              <w:t>12</w:t>
            </w:r>
          </w:p>
        </w:tc>
        <w:tc>
          <w:tcPr>
            <w:tcW w:w="1746" w:type="dxa"/>
            <w:tcBorders>
              <w:top w:val="single" w:color="auto" w:sz="4" w:space="0"/>
              <w:left w:val="single" w:color="auto" w:sz="4" w:space="0"/>
              <w:bottom w:val="single" w:color="auto" w:sz="4" w:space="0"/>
              <w:right w:val="single" w:color="auto" w:sz="4" w:space="0"/>
            </w:tcBorders>
            <w:shd w:val="clear" w:color="auto" w:fill="auto"/>
            <w:vAlign w:val="center"/>
          </w:tcPr>
          <w:p w14:paraId="40179F21">
            <w:pPr>
              <w:tabs>
                <w:tab w:val="left" w:pos="5505"/>
              </w:tabs>
              <w:spacing w:line="240" w:lineRule="exact"/>
              <w:jc w:val="center"/>
              <w:rPr>
                <w:sz w:val="26"/>
                <w:szCs w:val="26"/>
                <w:lang w:val="uk-UA"/>
              </w:rPr>
            </w:pPr>
            <w:r>
              <w:rPr>
                <w:sz w:val="26"/>
                <w:szCs w:val="26"/>
                <w:lang w:val="uk-UA"/>
              </w:rPr>
              <w:t>м</w:t>
            </w:r>
            <w:r>
              <w:rPr>
                <w:sz w:val="26"/>
                <w:szCs w:val="26"/>
                <w:vertAlign w:val="superscript"/>
                <w:lang w:val="uk-UA"/>
              </w:rPr>
              <w:t xml:space="preserve">2 </w:t>
            </w:r>
            <w:r>
              <w:rPr>
                <w:sz w:val="26"/>
                <w:szCs w:val="26"/>
                <w:lang w:val="uk-UA"/>
              </w:rPr>
              <w:t>загальної площі</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A8DB8EE">
            <w:pPr>
              <w:tabs>
                <w:tab w:val="left" w:pos="5505"/>
              </w:tabs>
              <w:spacing w:line="240" w:lineRule="exact"/>
              <w:ind w:left="-164" w:firstLine="328"/>
              <w:rPr>
                <w:sz w:val="26"/>
                <w:szCs w:val="26"/>
                <w:lang w:val="uk-U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EF22A5E">
            <w:pPr>
              <w:tabs>
                <w:tab w:val="left" w:pos="5505"/>
              </w:tabs>
              <w:spacing w:line="240" w:lineRule="exact"/>
              <w:ind w:left="-164" w:firstLine="328"/>
              <w:jc w:val="center"/>
              <w:rPr>
                <w:b/>
                <w:sz w:val="26"/>
                <w:szCs w:val="26"/>
                <w:lang w:val="uk-UA"/>
              </w:rPr>
            </w:pPr>
          </w:p>
        </w:tc>
      </w:tr>
      <w:tr w14:paraId="000E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2C29D1E8">
            <w:pPr>
              <w:spacing w:line="240" w:lineRule="exact"/>
              <w:rPr>
                <w:sz w:val="26"/>
                <w:szCs w:val="26"/>
                <w:lang w:val="uk-UA"/>
              </w:rPr>
            </w:pPr>
            <w:r>
              <w:rPr>
                <w:sz w:val="26"/>
                <w:szCs w:val="26"/>
                <w:lang w:val="uk-UA"/>
              </w:rPr>
              <w:t>Готелі</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388C33BC">
            <w:pPr>
              <w:tabs>
                <w:tab w:val="left" w:pos="5505"/>
              </w:tabs>
              <w:spacing w:line="240" w:lineRule="exact"/>
              <w:jc w:val="center"/>
              <w:rPr>
                <w:sz w:val="26"/>
                <w:szCs w:val="26"/>
                <w:lang w:val="uk-UA"/>
              </w:rPr>
            </w:pPr>
            <w:r>
              <w:rPr>
                <w:sz w:val="26"/>
                <w:szCs w:val="26"/>
                <w:lang w:val="uk-UA"/>
              </w:rPr>
              <w:t>1211</w:t>
            </w:r>
          </w:p>
        </w:tc>
        <w:tc>
          <w:tcPr>
            <w:tcW w:w="1746" w:type="dxa"/>
            <w:tcBorders>
              <w:top w:val="single" w:color="auto" w:sz="4" w:space="0"/>
              <w:left w:val="single" w:color="auto" w:sz="4" w:space="0"/>
              <w:bottom w:val="single" w:color="auto" w:sz="4" w:space="0"/>
              <w:right w:val="single" w:color="auto" w:sz="4" w:space="0"/>
            </w:tcBorders>
            <w:shd w:val="clear" w:color="auto" w:fill="auto"/>
            <w:vAlign w:val="center"/>
          </w:tcPr>
          <w:p w14:paraId="1BBBE2B9">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6ED8B539">
            <w:pPr>
              <w:tabs>
                <w:tab w:val="left" w:pos="5505"/>
              </w:tabs>
              <w:spacing w:line="240" w:lineRule="exact"/>
              <w:ind w:left="-164" w:firstLine="328"/>
              <w:rPr>
                <w:sz w:val="26"/>
                <w:szCs w:val="26"/>
                <w:lang w:val="uk-UA"/>
              </w:rPr>
            </w:pPr>
            <w:r>
              <w:rPr>
                <w:sz w:val="26"/>
                <w:szCs w:val="26"/>
                <w:lang w:val="uk-UA"/>
              </w:rPr>
              <w:t>5023,5</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A0142AC">
            <w:pPr>
              <w:tabs>
                <w:tab w:val="left" w:pos="5505"/>
              </w:tabs>
              <w:spacing w:line="240" w:lineRule="exact"/>
              <w:jc w:val="center"/>
              <w:rPr>
                <w:sz w:val="26"/>
                <w:szCs w:val="26"/>
                <w:lang w:val="uk-UA"/>
              </w:rPr>
            </w:pPr>
            <w:r>
              <w:rPr>
                <w:sz w:val="26"/>
                <w:szCs w:val="26"/>
                <w:lang w:val="uk-UA"/>
              </w:rPr>
              <w:t>10047,0</w:t>
            </w:r>
          </w:p>
        </w:tc>
      </w:tr>
      <w:tr w14:paraId="7A82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491B329E">
            <w:pPr>
              <w:spacing w:line="240" w:lineRule="exact"/>
              <w:rPr>
                <w:sz w:val="26"/>
                <w:szCs w:val="26"/>
                <w:lang w:val="uk-UA"/>
              </w:rPr>
            </w:pPr>
            <w:r>
              <w:rPr>
                <w:sz w:val="26"/>
                <w:szCs w:val="26"/>
                <w:lang w:val="uk-UA"/>
              </w:rPr>
              <w:t>Ресторани та бари</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29E43CCE">
            <w:pPr>
              <w:tabs>
                <w:tab w:val="left" w:pos="5505"/>
              </w:tabs>
              <w:spacing w:line="240" w:lineRule="exact"/>
              <w:jc w:val="center"/>
              <w:rPr>
                <w:sz w:val="26"/>
                <w:szCs w:val="26"/>
                <w:lang w:val="uk-UA"/>
              </w:rPr>
            </w:pPr>
            <w:r>
              <w:rPr>
                <w:sz w:val="26"/>
                <w:szCs w:val="26"/>
                <w:lang w:val="uk-UA"/>
              </w:rPr>
              <w:t>1211</w:t>
            </w:r>
          </w:p>
        </w:tc>
        <w:tc>
          <w:tcPr>
            <w:tcW w:w="1746" w:type="dxa"/>
            <w:tcBorders>
              <w:top w:val="single" w:color="auto" w:sz="4" w:space="0"/>
              <w:left w:val="single" w:color="auto" w:sz="4" w:space="0"/>
              <w:bottom w:val="single" w:color="auto" w:sz="4" w:space="0"/>
              <w:right w:val="single" w:color="auto" w:sz="4" w:space="0"/>
            </w:tcBorders>
            <w:shd w:val="clear" w:color="auto" w:fill="auto"/>
            <w:vAlign w:val="center"/>
          </w:tcPr>
          <w:p w14:paraId="411FE560">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521395CD">
            <w:pPr>
              <w:tabs>
                <w:tab w:val="left" w:pos="5505"/>
              </w:tabs>
              <w:spacing w:line="240" w:lineRule="exact"/>
              <w:ind w:left="-164" w:firstLine="328"/>
              <w:rPr>
                <w:sz w:val="26"/>
                <w:szCs w:val="26"/>
                <w:lang w:val="uk-UA"/>
              </w:rPr>
            </w:pPr>
            <w:r>
              <w:rPr>
                <w:sz w:val="26"/>
                <w:szCs w:val="26"/>
                <w:lang w:val="uk-UA"/>
              </w:rPr>
              <w:t>5023,5</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C6E159A">
            <w:pPr>
              <w:tabs>
                <w:tab w:val="left" w:pos="5505"/>
              </w:tabs>
              <w:spacing w:line="240" w:lineRule="exact"/>
              <w:jc w:val="center"/>
              <w:rPr>
                <w:sz w:val="26"/>
                <w:szCs w:val="26"/>
                <w:lang w:val="uk-UA"/>
              </w:rPr>
            </w:pPr>
            <w:r>
              <w:rPr>
                <w:sz w:val="26"/>
                <w:szCs w:val="26"/>
                <w:lang w:val="uk-UA"/>
              </w:rPr>
              <w:t>10047,0</w:t>
            </w:r>
          </w:p>
        </w:tc>
      </w:tr>
      <w:tr w14:paraId="740C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035AAEB2">
            <w:pPr>
              <w:spacing w:line="240" w:lineRule="exact"/>
              <w:rPr>
                <w:sz w:val="26"/>
                <w:szCs w:val="26"/>
                <w:lang w:val="uk-UA"/>
              </w:rPr>
            </w:pPr>
            <w:r>
              <w:rPr>
                <w:sz w:val="26"/>
                <w:szCs w:val="26"/>
                <w:lang w:val="uk-UA"/>
              </w:rPr>
              <w:t>Будівлі офісні</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0D3E5C2C">
            <w:pPr>
              <w:tabs>
                <w:tab w:val="left" w:pos="5505"/>
              </w:tabs>
              <w:spacing w:line="240" w:lineRule="exact"/>
              <w:jc w:val="center"/>
              <w:rPr>
                <w:sz w:val="26"/>
                <w:szCs w:val="26"/>
                <w:highlight w:val="yellow"/>
                <w:lang w:val="uk-UA"/>
              </w:rPr>
            </w:pPr>
            <w:r>
              <w:rPr>
                <w:sz w:val="26"/>
                <w:szCs w:val="26"/>
                <w:lang w:val="uk-UA"/>
              </w:rPr>
              <w:t>1220</w:t>
            </w:r>
          </w:p>
        </w:tc>
        <w:tc>
          <w:tcPr>
            <w:tcW w:w="1746" w:type="dxa"/>
            <w:tcBorders>
              <w:top w:val="single" w:color="auto" w:sz="4" w:space="0"/>
              <w:left w:val="single" w:color="auto" w:sz="4" w:space="0"/>
              <w:bottom w:val="single" w:color="auto" w:sz="4" w:space="0"/>
              <w:right w:val="single" w:color="auto" w:sz="4" w:space="0"/>
            </w:tcBorders>
            <w:shd w:val="clear" w:color="auto" w:fill="auto"/>
            <w:vAlign w:val="center"/>
          </w:tcPr>
          <w:p w14:paraId="30D25BB1">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6D2F0BA6">
            <w:pPr>
              <w:tabs>
                <w:tab w:val="left" w:pos="5505"/>
              </w:tabs>
              <w:spacing w:line="240" w:lineRule="exact"/>
              <w:ind w:left="-164" w:firstLine="328"/>
              <w:rPr>
                <w:sz w:val="26"/>
                <w:szCs w:val="26"/>
                <w:lang w:val="uk-UA"/>
              </w:rPr>
            </w:pPr>
            <w:r>
              <w:rPr>
                <w:sz w:val="26"/>
                <w:szCs w:val="26"/>
                <w:lang w:val="uk-UA"/>
              </w:rPr>
              <w:t>5023,5</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B11B246">
            <w:pPr>
              <w:tabs>
                <w:tab w:val="left" w:pos="5505"/>
              </w:tabs>
              <w:spacing w:line="240" w:lineRule="exact"/>
              <w:jc w:val="center"/>
              <w:rPr>
                <w:sz w:val="26"/>
                <w:szCs w:val="26"/>
                <w:lang w:val="uk-UA"/>
              </w:rPr>
            </w:pPr>
            <w:r>
              <w:rPr>
                <w:sz w:val="26"/>
                <w:szCs w:val="26"/>
                <w:lang w:val="uk-UA"/>
              </w:rPr>
              <w:t>10047,0</w:t>
            </w:r>
          </w:p>
        </w:tc>
      </w:tr>
      <w:tr w14:paraId="0DEB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vAlign w:val="center"/>
          </w:tcPr>
          <w:p w14:paraId="2B663224">
            <w:pPr>
              <w:spacing w:line="240" w:lineRule="exact"/>
              <w:rPr>
                <w:sz w:val="26"/>
                <w:szCs w:val="26"/>
                <w:lang w:val="uk-UA"/>
              </w:rPr>
            </w:pPr>
            <w:r>
              <w:rPr>
                <w:sz w:val="26"/>
                <w:szCs w:val="26"/>
                <w:lang w:val="uk-UA"/>
              </w:rPr>
              <w:t>Торгові центри, універмаги, магазини</w:t>
            </w:r>
          </w:p>
        </w:tc>
        <w:tc>
          <w:tcPr>
            <w:tcW w:w="2160" w:type="dxa"/>
            <w:tcBorders>
              <w:top w:val="single" w:color="auto" w:sz="4" w:space="0"/>
              <w:left w:val="single" w:color="auto" w:sz="4" w:space="0"/>
              <w:bottom w:val="single" w:color="auto" w:sz="4" w:space="0"/>
              <w:right w:val="single" w:color="auto" w:sz="4" w:space="0"/>
            </w:tcBorders>
            <w:vAlign w:val="center"/>
          </w:tcPr>
          <w:p w14:paraId="7018485F">
            <w:pPr>
              <w:tabs>
                <w:tab w:val="left" w:pos="5505"/>
              </w:tabs>
              <w:spacing w:line="240" w:lineRule="exact"/>
              <w:jc w:val="center"/>
              <w:rPr>
                <w:sz w:val="26"/>
                <w:szCs w:val="26"/>
                <w:lang w:val="uk-UA"/>
              </w:rPr>
            </w:pPr>
            <w:r>
              <w:rPr>
                <w:sz w:val="26"/>
                <w:szCs w:val="26"/>
                <w:lang w:val="uk-UA"/>
              </w:rPr>
              <w:t>1230</w:t>
            </w:r>
          </w:p>
        </w:tc>
        <w:tc>
          <w:tcPr>
            <w:tcW w:w="1746" w:type="dxa"/>
            <w:tcBorders>
              <w:top w:val="single" w:color="auto" w:sz="4" w:space="0"/>
              <w:left w:val="single" w:color="auto" w:sz="4" w:space="0"/>
              <w:bottom w:val="single" w:color="auto" w:sz="4" w:space="0"/>
              <w:right w:val="single" w:color="auto" w:sz="4" w:space="0"/>
            </w:tcBorders>
            <w:vAlign w:val="center"/>
          </w:tcPr>
          <w:p w14:paraId="7BAD4935">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1085A059">
            <w:pPr>
              <w:tabs>
                <w:tab w:val="left" w:pos="5505"/>
              </w:tabs>
              <w:spacing w:line="240" w:lineRule="exact"/>
              <w:ind w:left="-164" w:firstLine="328"/>
              <w:rPr>
                <w:sz w:val="26"/>
                <w:szCs w:val="26"/>
                <w:lang w:val="uk-UA"/>
              </w:rPr>
            </w:pPr>
            <w:r>
              <w:rPr>
                <w:sz w:val="26"/>
                <w:szCs w:val="26"/>
                <w:lang w:val="uk-UA"/>
              </w:rPr>
              <w:t>5023,5</w:t>
            </w:r>
          </w:p>
        </w:tc>
        <w:tc>
          <w:tcPr>
            <w:tcW w:w="1260" w:type="dxa"/>
            <w:tcBorders>
              <w:top w:val="single" w:color="auto" w:sz="4" w:space="0"/>
              <w:left w:val="single" w:color="auto" w:sz="4" w:space="0"/>
              <w:bottom w:val="single" w:color="auto" w:sz="4" w:space="0"/>
              <w:right w:val="single" w:color="auto" w:sz="4" w:space="0"/>
            </w:tcBorders>
            <w:vAlign w:val="center"/>
          </w:tcPr>
          <w:p w14:paraId="4480E1B7">
            <w:pPr>
              <w:tabs>
                <w:tab w:val="left" w:pos="5505"/>
              </w:tabs>
              <w:spacing w:line="240" w:lineRule="exact"/>
              <w:jc w:val="center"/>
              <w:rPr>
                <w:sz w:val="26"/>
                <w:szCs w:val="26"/>
                <w:lang w:val="uk-UA"/>
              </w:rPr>
            </w:pPr>
            <w:r>
              <w:rPr>
                <w:sz w:val="26"/>
                <w:szCs w:val="26"/>
                <w:lang w:val="uk-UA"/>
              </w:rPr>
              <w:t>10047,0</w:t>
            </w:r>
          </w:p>
        </w:tc>
      </w:tr>
      <w:tr w14:paraId="12F5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vAlign w:val="center"/>
          </w:tcPr>
          <w:p w14:paraId="36D50282">
            <w:pPr>
              <w:spacing w:line="240" w:lineRule="exact"/>
              <w:rPr>
                <w:sz w:val="26"/>
                <w:szCs w:val="26"/>
                <w:lang w:val="uk-UA"/>
              </w:rPr>
            </w:pPr>
            <w:r>
              <w:rPr>
                <w:sz w:val="26"/>
                <w:szCs w:val="26"/>
                <w:lang w:val="uk-UA"/>
              </w:rPr>
              <w:t>Ринки, павільйони</w:t>
            </w:r>
          </w:p>
        </w:tc>
        <w:tc>
          <w:tcPr>
            <w:tcW w:w="2160" w:type="dxa"/>
            <w:tcBorders>
              <w:top w:val="single" w:color="auto" w:sz="4" w:space="0"/>
              <w:left w:val="single" w:color="auto" w:sz="4" w:space="0"/>
              <w:bottom w:val="single" w:color="auto" w:sz="4" w:space="0"/>
              <w:right w:val="single" w:color="auto" w:sz="4" w:space="0"/>
            </w:tcBorders>
            <w:vAlign w:val="center"/>
          </w:tcPr>
          <w:p w14:paraId="02780723">
            <w:pPr>
              <w:tabs>
                <w:tab w:val="left" w:pos="5505"/>
              </w:tabs>
              <w:spacing w:line="240" w:lineRule="exact"/>
              <w:jc w:val="center"/>
              <w:rPr>
                <w:sz w:val="26"/>
                <w:szCs w:val="26"/>
                <w:lang w:val="uk-UA"/>
              </w:rPr>
            </w:pPr>
            <w:r>
              <w:rPr>
                <w:sz w:val="26"/>
                <w:szCs w:val="26"/>
                <w:lang w:val="uk-UA"/>
              </w:rPr>
              <w:t>1230</w:t>
            </w:r>
          </w:p>
        </w:tc>
        <w:tc>
          <w:tcPr>
            <w:tcW w:w="1746" w:type="dxa"/>
            <w:tcBorders>
              <w:top w:val="single" w:color="auto" w:sz="4" w:space="0"/>
              <w:left w:val="single" w:color="auto" w:sz="4" w:space="0"/>
              <w:bottom w:val="single" w:color="auto" w:sz="4" w:space="0"/>
              <w:right w:val="single" w:color="auto" w:sz="4" w:space="0"/>
            </w:tcBorders>
            <w:vAlign w:val="center"/>
          </w:tcPr>
          <w:p w14:paraId="7950C389">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3F0B898A">
            <w:pPr>
              <w:tabs>
                <w:tab w:val="left" w:pos="5505"/>
              </w:tabs>
              <w:spacing w:line="240" w:lineRule="exact"/>
              <w:ind w:left="-164" w:firstLine="328"/>
              <w:rPr>
                <w:sz w:val="26"/>
                <w:szCs w:val="26"/>
                <w:lang w:val="uk-UA"/>
              </w:rPr>
            </w:pPr>
            <w:r>
              <w:rPr>
                <w:sz w:val="26"/>
                <w:szCs w:val="26"/>
                <w:lang w:val="uk-UA"/>
              </w:rPr>
              <w:t>2882,0</w:t>
            </w:r>
          </w:p>
        </w:tc>
        <w:tc>
          <w:tcPr>
            <w:tcW w:w="1260" w:type="dxa"/>
            <w:tcBorders>
              <w:top w:val="single" w:color="auto" w:sz="4" w:space="0"/>
              <w:left w:val="single" w:color="auto" w:sz="4" w:space="0"/>
              <w:bottom w:val="single" w:color="auto" w:sz="4" w:space="0"/>
              <w:right w:val="single" w:color="auto" w:sz="4" w:space="0"/>
            </w:tcBorders>
            <w:vAlign w:val="center"/>
          </w:tcPr>
          <w:p w14:paraId="5103EC76">
            <w:pPr>
              <w:tabs>
                <w:tab w:val="left" w:pos="5505"/>
              </w:tabs>
              <w:spacing w:line="240" w:lineRule="exact"/>
              <w:jc w:val="center"/>
              <w:rPr>
                <w:sz w:val="26"/>
                <w:szCs w:val="26"/>
                <w:lang w:val="uk-UA"/>
              </w:rPr>
            </w:pPr>
            <w:r>
              <w:rPr>
                <w:sz w:val="26"/>
                <w:szCs w:val="26"/>
                <w:lang w:val="uk-UA"/>
              </w:rPr>
              <w:t>5764,0</w:t>
            </w:r>
          </w:p>
        </w:tc>
      </w:tr>
      <w:tr w14:paraId="58B5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Borders>
              <w:top w:val="single" w:color="auto" w:sz="4" w:space="0"/>
              <w:left w:val="single" w:color="auto" w:sz="4" w:space="0"/>
              <w:bottom w:val="single" w:color="auto" w:sz="4" w:space="0"/>
              <w:right w:val="single" w:color="auto" w:sz="4" w:space="0"/>
            </w:tcBorders>
            <w:vAlign w:val="center"/>
          </w:tcPr>
          <w:p w14:paraId="4E64899E">
            <w:pPr>
              <w:spacing w:line="240" w:lineRule="exact"/>
              <w:rPr>
                <w:sz w:val="26"/>
                <w:szCs w:val="26"/>
                <w:lang w:val="uk-UA"/>
              </w:rPr>
            </w:pPr>
            <w:r>
              <w:rPr>
                <w:sz w:val="26"/>
                <w:szCs w:val="26"/>
                <w:lang w:val="uk-UA"/>
              </w:rPr>
              <w:t>Станції технічного обслуговування автомобілів</w:t>
            </w:r>
          </w:p>
        </w:tc>
        <w:tc>
          <w:tcPr>
            <w:tcW w:w="2160" w:type="dxa"/>
            <w:tcBorders>
              <w:top w:val="single" w:color="auto" w:sz="4" w:space="0"/>
              <w:left w:val="single" w:color="auto" w:sz="4" w:space="0"/>
              <w:bottom w:val="single" w:color="auto" w:sz="4" w:space="0"/>
              <w:right w:val="single" w:color="auto" w:sz="4" w:space="0"/>
            </w:tcBorders>
            <w:vAlign w:val="center"/>
          </w:tcPr>
          <w:p w14:paraId="31707202">
            <w:pPr>
              <w:tabs>
                <w:tab w:val="left" w:pos="5505"/>
              </w:tabs>
              <w:spacing w:line="240" w:lineRule="exact"/>
              <w:jc w:val="center"/>
              <w:rPr>
                <w:sz w:val="26"/>
                <w:szCs w:val="26"/>
                <w:lang w:val="uk-UA"/>
              </w:rPr>
            </w:pPr>
            <w:r>
              <w:rPr>
                <w:sz w:val="26"/>
                <w:szCs w:val="26"/>
                <w:lang w:val="uk-UA"/>
              </w:rPr>
              <w:t>1230</w:t>
            </w:r>
          </w:p>
        </w:tc>
        <w:tc>
          <w:tcPr>
            <w:tcW w:w="1746" w:type="dxa"/>
            <w:tcBorders>
              <w:top w:val="single" w:color="auto" w:sz="4" w:space="0"/>
              <w:left w:val="single" w:color="auto" w:sz="4" w:space="0"/>
              <w:bottom w:val="single" w:color="auto" w:sz="4" w:space="0"/>
              <w:right w:val="single" w:color="auto" w:sz="4" w:space="0"/>
            </w:tcBorders>
            <w:vAlign w:val="center"/>
          </w:tcPr>
          <w:p w14:paraId="5F0C2BD2">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708D3E64">
            <w:pPr>
              <w:tabs>
                <w:tab w:val="left" w:pos="5505"/>
              </w:tabs>
              <w:spacing w:line="240" w:lineRule="exact"/>
              <w:ind w:left="-164" w:firstLine="328"/>
              <w:rPr>
                <w:sz w:val="26"/>
                <w:szCs w:val="26"/>
                <w:lang w:val="uk-UA"/>
              </w:rPr>
            </w:pPr>
            <w:r>
              <w:rPr>
                <w:sz w:val="26"/>
                <w:szCs w:val="26"/>
                <w:lang w:val="uk-UA"/>
              </w:rPr>
              <w:t>3380,0</w:t>
            </w:r>
          </w:p>
        </w:tc>
        <w:tc>
          <w:tcPr>
            <w:tcW w:w="1260" w:type="dxa"/>
            <w:tcBorders>
              <w:top w:val="single" w:color="auto" w:sz="4" w:space="0"/>
              <w:left w:val="single" w:color="auto" w:sz="4" w:space="0"/>
              <w:bottom w:val="single" w:color="auto" w:sz="4" w:space="0"/>
              <w:right w:val="single" w:color="auto" w:sz="4" w:space="0"/>
            </w:tcBorders>
            <w:vAlign w:val="center"/>
          </w:tcPr>
          <w:p w14:paraId="7E836DE3">
            <w:pPr>
              <w:tabs>
                <w:tab w:val="left" w:pos="5505"/>
              </w:tabs>
              <w:spacing w:line="240" w:lineRule="exact"/>
              <w:jc w:val="center"/>
              <w:rPr>
                <w:sz w:val="26"/>
                <w:szCs w:val="26"/>
                <w:lang w:val="uk-UA"/>
              </w:rPr>
            </w:pPr>
            <w:r>
              <w:rPr>
                <w:sz w:val="26"/>
                <w:szCs w:val="26"/>
                <w:lang w:val="uk-UA"/>
              </w:rPr>
              <w:t>6760,0</w:t>
            </w:r>
          </w:p>
        </w:tc>
      </w:tr>
      <w:tr w14:paraId="4EFA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402" w:type="dxa"/>
            <w:tcBorders>
              <w:top w:val="single" w:color="auto" w:sz="4" w:space="0"/>
              <w:left w:val="single" w:color="auto" w:sz="4" w:space="0"/>
              <w:bottom w:val="single" w:color="auto" w:sz="4" w:space="0"/>
              <w:right w:val="single" w:color="auto" w:sz="4" w:space="0"/>
            </w:tcBorders>
            <w:vAlign w:val="center"/>
          </w:tcPr>
          <w:p w14:paraId="1A634438">
            <w:pPr>
              <w:spacing w:line="240" w:lineRule="exact"/>
              <w:rPr>
                <w:sz w:val="26"/>
                <w:szCs w:val="26"/>
                <w:lang w:val="uk-UA"/>
              </w:rPr>
            </w:pPr>
            <w:r>
              <w:rPr>
                <w:sz w:val="26"/>
                <w:szCs w:val="26"/>
                <w:lang w:val="uk-UA"/>
              </w:rPr>
              <w:t>Їдальні, кафе, закусочні</w:t>
            </w:r>
          </w:p>
        </w:tc>
        <w:tc>
          <w:tcPr>
            <w:tcW w:w="2160" w:type="dxa"/>
            <w:tcBorders>
              <w:top w:val="single" w:color="auto" w:sz="4" w:space="0"/>
              <w:left w:val="single" w:color="auto" w:sz="4" w:space="0"/>
              <w:bottom w:val="single" w:color="auto" w:sz="4" w:space="0"/>
              <w:right w:val="single" w:color="auto" w:sz="4" w:space="0"/>
            </w:tcBorders>
            <w:vAlign w:val="center"/>
          </w:tcPr>
          <w:p w14:paraId="7CBDEE38">
            <w:pPr>
              <w:spacing w:line="240" w:lineRule="exact"/>
              <w:jc w:val="center"/>
              <w:rPr>
                <w:sz w:val="26"/>
                <w:szCs w:val="26"/>
                <w:lang w:val="uk-UA"/>
              </w:rPr>
            </w:pPr>
            <w:r>
              <w:rPr>
                <w:sz w:val="26"/>
                <w:szCs w:val="26"/>
                <w:lang w:val="uk-UA"/>
              </w:rPr>
              <w:t>1230</w:t>
            </w:r>
          </w:p>
        </w:tc>
        <w:tc>
          <w:tcPr>
            <w:tcW w:w="1746" w:type="dxa"/>
            <w:tcBorders>
              <w:top w:val="single" w:color="auto" w:sz="4" w:space="0"/>
              <w:left w:val="single" w:color="auto" w:sz="4" w:space="0"/>
              <w:bottom w:val="single" w:color="auto" w:sz="4" w:space="0"/>
              <w:right w:val="single" w:color="auto" w:sz="4" w:space="0"/>
            </w:tcBorders>
            <w:vAlign w:val="center"/>
          </w:tcPr>
          <w:p w14:paraId="03307815">
            <w:pPr>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59BE8FC4">
            <w:pPr>
              <w:tabs>
                <w:tab w:val="left" w:pos="5505"/>
              </w:tabs>
              <w:spacing w:line="240" w:lineRule="exact"/>
              <w:ind w:left="-164" w:firstLine="328"/>
              <w:rPr>
                <w:sz w:val="26"/>
                <w:szCs w:val="26"/>
                <w:lang w:val="uk-UA"/>
              </w:rPr>
            </w:pPr>
            <w:r>
              <w:rPr>
                <w:sz w:val="26"/>
                <w:szCs w:val="26"/>
                <w:lang w:val="uk-UA"/>
              </w:rPr>
              <w:t>3405,5</w:t>
            </w:r>
          </w:p>
        </w:tc>
        <w:tc>
          <w:tcPr>
            <w:tcW w:w="1260" w:type="dxa"/>
            <w:tcBorders>
              <w:top w:val="single" w:color="auto" w:sz="4" w:space="0"/>
              <w:left w:val="single" w:color="auto" w:sz="4" w:space="0"/>
              <w:bottom w:val="single" w:color="auto" w:sz="4" w:space="0"/>
              <w:right w:val="single" w:color="auto" w:sz="4" w:space="0"/>
            </w:tcBorders>
            <w:vAlign w:val="center"/>
          </w:tcPr>
          <w:p w14:paraId="76EA96A9">
            <w:pPr>
              <w:tabs>
                <w:tab w:val="left" w:pos="5505"/>
              </w:tabs>
              <w:spacing w:line="240" w:lineRule="exact"/>
              <w:jc w:val="center"/>
              <w:rPr>
                <w:sz w:val="26"/>
                <w:szCs w:val="26"/>
                <w:lang w:val="uk-UA"/>
              </w:rPr>
            </w:pPr>
            <w:r>
              <w:rPr>
                <w:sz w:val="26"/>
                <w:szCs w:val="26"/>
                <w:lang w:val="uk-UA"/>
              </w:rPr>
              <w:t>6811,0</w:t>
            </w:r>
          </w:p>
        </w:tc>
      </w:tr>
      <w:tr w14:paraId="56DC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Borders>
              <w:top w:val="single" w:color="auto" w:sz="4" w:space="0"/>
              <w:left w:val="single" w:color="auto" w:sz="4" w:space="0"/>
              <w:bottom w:val="single" w:color="auto" w:sz="4" w:space="0"/>
              <w:right w:val="single" w:color="auto" w:sz="4" w:space="0"/>
            </w:tcBorders>
            <w:vAlign w:val="center"/>
          </w:tcPr>
          <w:p w14:paraId="24F5475E">
            <w:pPr>
              <w:spacing w:line="240" w:lineRule="exact"/>
              <w:rPr>
                <w:sz w:val="26"/>
                <w:szCs w:val="26"/>
                <w:lang w:val="uk-UA"/>
              </w:rPr>
            </w:pPr>
            <w:r>
              <w:rPr>
                <w:sz w:val="26"/>
                <w:szCs w:val="26"/>
                <w:lang w:val="uk-UA"/>
              </w:rPr>
              <w:t>Бази та склади підприємств торгівлі й громадського харчування</w:t>
            </w:r>
          </w:p>
        </w:tc>
        <w:tc>
          <w:tcPr>
            <w:tcW w:w="2160" w:type="dxa"/>
            <w:tcBorders>
              <w:top w:val="single" w:color="auto" w:sz="4" w:space="0"/>
              <w:left w:val="single" w:color="auto" w:sz="4" w:space="0"/>
              <w:bottom w:val="single" w:color="auto" w:sz="4" w:space="0"/>
              <w:right w:val="single" w:color="auto" w:sz="4" w:space="0"/>
            </w:tcBorders>
            <w:vAlign w:val="center"/>
          </w:tcPr>
          <w:p w14:paraId="022393EB">
            <w:pPr>
              <w:tabs>
                <w:tab w:val="left" w:pos="5505"/>
              </w:tabs>
              <w:spacing w:line="240" w:lineRule="exact"/>
              <w:jc w:val="center"/>
              <w:rPr>
                <w:sz w:val="26"/>
                <w:szCs w:val="26"/>
                <w:lang w:val="uk-UA"/>
              </w:rPr>
            </w:pPr>
            <w:r>
              <w:rPr>
                <w:sz w:val="26"/>
                <w:szCs w:val="26"/>
                <w:lang w:val="uk-UA"/>
              </w:rPr>
              <w:t>1230</w:t>
            </w:r>
          </w:p>
        </w:tc>
        <w:tc>
          <w:tcPr>
            <w:tcW w:w="1746" w:type="dxa"/>
            <w:tcBorders>
              <w:top w:val="single" w:color="auto" w:sz="4" w:space="0"/>
              <w:left w:val="single" w:color="auto" w:sz="4" w:space="0"/>
              <w:bottom w:val="single" w:color="auto" w:sz="4" w:space="0"/>
              <w:right w:val="single" w:color="auto" w:sz="4" w:space="0"/>
            </w:tcBorders>
            <w:vAlign w:val="center"/>
          </w:tcPr>
          <w:p w14:paraId="7B2CF73D">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7A67A3CA">
            <w:pPr>
              <w:tabs>
                <w:tab w:val="left" w:pos="5505"/>
              </w:tabs>
              <w:spacing w:line="240" w:lineRule="exact"/>
              <w:ind w:left="-164" w:firstLine="328"/>
              <w:rPr>
                <w:sz w:val="26"/>
                <w:szCs w:val="26"/>
                <w:lang w:val="uk-UA"/>
              </w:rPr>
            </w:pPr>
            <w:r>
              <w:rPr>
                <w:sz w:val="26"/>
                <w:szCs w:val="26"/>
                <w:lang w:val="uk-UA"/>
              </w:rPr>
              <w:t>3391,5</w:t>
            </w:r>
          </w:p>
        </w:tc>
        <w:tc>
          <w:tcPr>
            <w:tcW w:w="1260" w:type="dxa"/>
            <w:tcBorders>
              <w:top w:val="single" w:color="auto" w:sz="4" w:space="0"/>
              <w:left w:val="single" w:color="auto" w:sz="4" w:space="0"/>
              <w:bottom w:val="single" w:color="auto" w:sz="4" w:space="0"/>
              <w:right w:val="single" w:color="auto" w:sz="4" w:space="0"/>
            </w:tcBorders>
            <w:vAlign w:val="center"/>
          </w:tcPr>
          <w:p w14:paraId="33FE3202">
            <w:pPr>
              <w:tabs>
                <w:tab w:val="left" w:pos="5505"/>
              </w:tabs>
              <w:spacing w:line="240" w:lineRule="exact"/>
              <w:ind w:left="-164" w:firstLine="328"/>
              <w:rPr>
                <w:sz w:val="26"/>
                <w:szCs w:val="26"/>
                <w:lang w:val="uk-UA"/>
              </w:rPr>
            </w:pPr>
            <w:r>
              <w:rPr>
                <w:sz w:val="26"/>
                <w:szCs w:val="26"/>
                <w:lang w:val="uk-UA"/>
              </w:rPr>
              <w:t>6783,0</w:t>
            </w:r>
          </w:p>
        </w:tc>
      </w:tr>
      <w:tr w14:paraId="35AD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402" w:type="dxa"/>
            <w:tcBorders>
              <w:top w:val="single" w:color="auto" w:sz="4" w:space="0"/>
              <w:left w:val="single" w:color="auto" w:sz="4" w:space="0"/>
              <w:bottom w:val="single" w:color="auto" w:sz="4" w:space="0"/>
              <w:right w:val="single" w:color="auto" w:sz="4" w:space="0"/>
            </w:tcBorders>
            <w:vAlign w:val="center"/>
          </w:tcPr>
          <w:p w14:paraId="731DFE9F">
            <w:pPr>
              <w:spacing w:line="240" w:lineRule="exact"/>
              <w:rPr>
                <w:sz w:val="26"/>
                <w:szCs w:val="26"/>
                <w:lang w:val="uk-UA"/>
              </w:rPr>
            </w:pPr>
            <w:r>
              <w:rPr>
                <w:sz w:val="26"/>
                <w:szCs w:val="26"/>
                <w:lang w:val="uk-UA"/>
              </w:rPr>
              <w:t>Гаражі наземні</w:t>
            </w:r>
          </w:p>
        </w:tc>
        <w:tc>
          <w:tcPr>
            <w:tcW w:w="2160" w:type="dxa"/>
            <w:tcBorders>
              <w:top w:val="single" w:color="auto" w:sz="4" w:space="0"/>
              <w:left w:val="single" w:color="auto" w:sz="4" w:space="0"/>
              <w:bottom w:val="single" w:color="auto" w:sz="4" w:space="0"/>
              <w:right w:val="single" w:color="auto" w:sz="4" w:space="0"/>
            </w:tcBorders>
            <w:vAlign w:val="center"/>
          </w:tcPr>
          <w:p w14:paraId="69DAF640">
            <w:pPr>
              <w:tabs>
                <w:tab w:val="left" w:pos="5505"/>
              </w:tabs>
              <w:spacing w:line="240" w:lineRule="exact"/>
              <w:jc w:val="center"/>
              <w:rPr>
                <w:sz w:val="26"/>
                <w:szCs w:val="26"/>
                <w:lang w:val="uk-UA"/>
              </w:rPr>
            </w:pPr>
            <w:r>
              <w:rPr>
                <w:sz w:val="26"/>
                <w:szCs w:val="26"/>
                <w:lang w:val="uk-UA"/>
              </w:rPr>
              <w:t>1242</w:t>
            </w:r>
          </w:p>
        </w:tc>
        <w:tc>
          <w:tcPr>
            <w:tcW w:w="1746" w:type="dxa"/>
            <w:tcBorders>
              <w:top w:val="single" w:color="auto" w:sz="4" w:space="0"/>
              <w:left w:val="single" w:color="auto" w:sz="4" w:space="0"/>
              <w:bottom w:val="single" w:color="auto" w:sz="4" w:space="0"/>
              <w:right w:val="single" w:color="auto" w:sz="4" w:space="0"/>
            </w:tcBorders>
            <w:vAlign w:val="center"/>
          </w:tcPr>
          <w:p w14:paraId="798D7513">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23BA8DBE">
            <w:pPr>
              <w:tabs>
                <w:tab w:val="left" w:pos="5505"/>
              </w:tabs>
              <w:spacing w:line="240" w:lineRule="exact"/>
              <w:ind w:left="-164" w:firstLine="328"/>
              <w:rPr>
                <w:sz w:val="26"/>
                <w:szCs w:val="26"/>
                <w:lang w:val="uk-UA"/>
              </w:rPr>
            </w:pPr>
            <w:r>
              <w:rPr>
                <w:sz w:val="26"/>
                <w:szCs w:val="26"/>
                <w:lang w:val="uk-UA"/>
              </w:rPr>
              <w:t>3380,0</w:t>
            </w:r>
          </w:p>
        </w:tc>
        <w:tc>
          <w:tcPr>
            <w:tcW w:w="1260" w:type="dxa"/>
            <w:tcBorders>
              <w:top w:val="single" w:color="auto" w:sz="4" w:space="0"/>
              <w:left w:val="single" w:color="auto" w:sz="4" w:space="0"/>
              <w:bottom w:val="single" w:color="auto" w:sz="4" w:space="0"/>
              <w:right w:val="single" w:color="auto" w:sz="4" w:space="0"/>
            </w:tcBorders>
            <w:vAlign w:val="center"/>
          </w:tcPr>
          <w:p w14:paraId="2DD6A0F1">
            <w:pPr>
              <w:tabs>
                <w:tab w:val="left" w:pos="5505"/>
              </w:tabs>
              <w:spacing w:line="240" w:lineRule="exact"/>
              <w:jc w:val="center"/>
              <w:rPr>
                <w:sz w:val="26"/>
                <w:szCs w:val="26"/>
                <w:lang w:val="uk-UA"/>
              </w:rPr>
            </w:pPr>
            <w:r>
              <w:rPr>
                <w:sz w:val="26"/>
                <w:szCs w:val="26"/>
                <w:lang w:val="uk-UA"/>
              </w:rPr>
              <w:t>6760,0</w:t>
            </w:r>
          </w:p>
        </w:tc>
      </w:tr>
      <w:tr w14:paraId="2573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402" w:type="dxa"/>
            <w:tcBorders>
              <w:top w:val="single" w:color="auto" w:sz="4" w:space="0"/>
              <w:left w:val="single" w:color="auto" w:sz="4" w:space="0"/>
              <w:bottom w:val="single" w:color="auto" w:sz="4" w:space="0"/>
              <w:right w:val="single" w:color="auto" w:sz="4" w:space="0"/>
            </w:tcBorders>
            <w:vAlign w:val="center"/>
          </w:tcPr>
          <w:p w14:paraId="1E5F4EFB">
            <w:pPr>
              <w:spacing w:line="240" w:lineRule="exact"/>
              <w:rPr>
                <w:sz w:val="26"/>
                <w:szCs w:val="26"/>
                <w:lang w:val="uk-UA"/>
              </w:rPr>
            </w:pPr>
            <w:r>
              <w:rPr>
                <w:sz w:val="26"/>
                <w:szCs w:val="26"/>
                <w:lang w:val="uk-UA"/>
              </w:rPr>
              <w:t>Гаражі підземні</w:t>
            </w:r>
          </w:p>
        </w:tc>
        <w:tc>
          <w:tcPr>
            <w:tcW w:w="2160" w:type="dxa"/>
            <w:tcBorders>
              <w:top w:val="single" w:color="auto" w:sz="4" w:space="0"/>
              <w:left w:val="single" w:color="auto" w:sz="4" w:space="0"/>
              <w:bottom w:val="single" w:color="auto" w:sz="4" w:space="0"/>
              <w:right w:val="single" w:color="auto" w:sz="4" w:space="0"/>
            </w:tcBorders>
            <w:vAlign w:val="center"/>
          </w:tcPr>
          <w:p w14:paraId="07BA266E">
            <w:pPr>
              <w:tabs>
                <w:tab w:val="left" w:pos="5505"/>
              </w:tabs>
              <w:spacing w:line="240" w:lineRule="exact"/>
              <w:jc w:val="center"/>
              <w:rPr>
                <w:sz w:val="26"/>
                <w:szCs w:val="26"/>
                <w:lang w:val="uk-UA"/>
              </w:rPr>
            </w:pPr>
            <w:r>
              <w:rPr>
                <w:sz w:val="26"/>
                <w:szCs w:val="26"/>
                <w:lang w:val="uk-UA"/>
              </w:rPr>
              <w:t>1242</w:t>
            </w:r>
          </w:p>
        </w:tc>
        <w:tc>
          <w:tcPr>
            <w:tcW w:w="1746" w:type="dxa"/>
            <w:tcBorders>
              <w:top w:val="single" w:color="auto" w:sz="4" w:space="0"/>
              <w:left w:val="single" w:color="auto" w:sz="4" w:space="0"/>
              <w:bottom w:val="single" w:color="auto" w:sz="4" w:space="0"/>
              <w:right w:val="single" w:color="auto" w:sz="4" w:space="0"/>
            </w:tcBorders>
            <w:vAlign w:val="center"/>
          </w:tcPr>
          <w:p w14:paraId="6D6DDDE6">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2ED48DCE">
            <w:pPr>
              <w:tabs>
                <w:tab w:val="left" w:pos="5505"/>
              </w:tabs>
              <w:spacing w:line="240" w:lineRule="exact"/>
              <w:ind w:left="-164" w:firstLine="328"/>
              <w:rPr>
                <w:sz w:val="26"/>
                <w:szCs w:val="26"/>
                <w:lang w:val="uk-UA"/>
              </w:rPr>
            </w:pPr>
            <w:r>
              <w:rPr>
                <w:sz w:val="26"/>
                <w:szCs w:val="26"/>
                <w:lang w:val="uk-UA"/>
              </w:rPr>
              <w:t>3718,0</w:t>
            </w:r>
          </w:p>
        </w:tc>
        <w:tc>
          <w:tcPr>
            <w:tcW w:w="1260" w:type="dxa"/>
            <w:tcBorders>
              <w:top w:val="single" w:color="auto" w:sz="4" w:space="0"/>
              <w:left w:val="single" w:color="auto" w:sz="4" w:space="0"/>
              <w:bottom w:val="single" w:color="auto" w:sz="4" w:space="0"/>
              <w:right w:val="single" w:color="auto" w:sz="4" w:space="0"/>
            </w:tcBorders>
            <w:vAlign w:val="center"/>
          </w:tcPr>
          <w:p w14:paraId="277607CB">
            <w:pPr>
              <w:tabs>
                <w:tab w:val="left" w:pos="5505"/>
              </w:tabs>
              <w:spacing w:line="240" w:lineRule="exact"/>
              <w:ind w:left="-164" w:firstLine="328"/>
              <w:rPr>
                <w:sz w:val="26"/>
                <w:szCs w:val="26"/>
                <w:lang w:val="uk-UA"/>
              </w:rPr>
            </w:pPr>
            <w:r>
              <w:rPr>
                <w:sz w:val="26"/>
                <w:szCs w:val="26"/>
                <w:lang w:val="uk-UA"/>
              </w:rPr>
              <w:t>7436,0</w:t>
            </w:r>
          </w:p>
        </w:tc>
      </w:tr>
      <w:tr w14:paraId="42A5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3402" w:type="dxa"/>
            <w:tcBorders>
              <w:top w:val="single" w:color="auto" w:sz="4" w:space="0"/>
              <w:left w:val="single" w:color="auto" w:sz="4" w:space="0"/>
              <w:bottom w:val="single" w:color="auto" w:sz="4" w:space="0"/>
              <w:right w:val="single" w:color="auto" w:sz="4" w:space="0"/>
            </w:tcBorders>
            <w:vAlign w:val="center"/>
          </w:tcPr>
          <w:p w14:paraId="21731D82">
            <w:pPr>
              <w:spacing w:line="240" w:lineRule="exact"/>
              <w:rPr>
                <w:sz w:val="26"/>
                <w:szCs w:val="26"/>
                <w:lang w:val="uk-UA"/>
              </w:rPr>
            </w:pPr>
            <w:r>
              <w:rPr>
                <w:sz w:val="26"/>
                <w:szCs w:val="26"/>
                <w:lang w:val="uk-UA"/>
              </w:rPr>
              <w:t>Автостоянки криті</w:t>
            </w:r>
          </w:p>
        </w:tc>
        <w:tc>
          <w:tcPr>
            <w:tcW w:w="2160" w:type="dxa"/>
            <w:tcBorders>
              <w:top w:val="single" w:color="auto" w:sz="4" w:space="0"/>
              <w:left w:val="single" w:color="auto" w:sz="4" w:space="0"/>
              <w:bottom w:val="single" w:color="auto" w:sz="4" w:space="0"/>
              <w:right w:val="single" w:color="auto" w:sz="4" w:space="0"/>
            </w:tcBorders>
            <w:vAlign w:val="center"/>
          </w:tcPr>
          <w:p w14:paraId="417E3157">
            <w:pPr>
              <w:tabs>
                <w:tab w:val="left" w:pos="5505"/>
              </w:tabs>
              <w:spacing w:line="240" w:lineRule="exact"/>
              <w:jc w:val="center"/>
              <w:rPr>
                <w:sz w:val="26"/>
                <w:szCs w:val="26"/>
                <w:highlight w:val="yellow"/>
                <w:lang w:val="uk-UA"/>
              </w:rPr>
            </w:pPr>
            <w:r>
              <w:rPr>
                <w:sz w:val="26"/>
                <w:szCs w:val="26"/>
                <w:lang w:val="uk-UA"/>
              </w:rPr>
              <w:t>1242</w:t>
            </w:r>
          </w:p>
        </w:tc>
        <w:tc>
          <w:tcPr>
            <w:tcW w:w="1746" w:type="dxa"/>
            <w:tcBorders>
              <w:top w:val="single" w:color="auto" w:sz="4" w:space="0"/>
              <w:left w:val="single" w:color="auto" w:sz="4" w:space="0"/>
              <w:bottom w:val="single" w:color="auto" w:sz="4" w:space="0"/>
              <w:right w:val="single" w:color="auto" w:sz="4" w:space="0"/>
            </w:tcBorders>
            <w:vAlign w:val="center"/>
          </w:tcPr>
          <w:p w14:paraId="126F62ED">
            <w:pPr>
              <w:tabs>
                <w:tab w:val="left" w:pos="5505"/>
              </w:tabs>
              <w:spacing w:line="240" w:lineRule="exact"/>
              <w:jc w:val="center"/>
              <w:rPr>
                <w:sz w:val="26"/>
                <w:szCs w:val="26"/>
                <w:highlight w:val="yellow"/>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51C1AA6B">
            <w:pPr>
              <w:tabs>
                <w:tab w:val="left" w:pos="5505"/>
              </w:tabs>
              <w:spacing w:line="240" w:lineRule="exact"/>
              <w:ind w:left="-164" w:firstLine="328"/>
              <w:rPr>
                <w:sz w:val="26"/>
                <w:szCs w:val="26"/>
                <w:lang w:val="uk-UA"/>
              </w:rPr>
            </w:pPr>
            <w:r>
              <w:rPr>
                <w:sz w:val="26"/>
                <w:szCs w:val="26"/>
                <w:lang w:val="uk-UA"/>
              </w:rPr>
              <w:t>2882,0</w:t>
            </w:r>
          </w:p>
        </w:tc>
        <w:tc>
          <w:tcPr>
            <w:tcW w:w="1260" w:type="dxa"/>
            <w:tcBorders>
              <w:top w:val="single" w:color="auto" w:sz="4" w:space="0"/>
              <w:left w:val="single" w:color="auto" w:sz="4" w:space="0"/>
              <w:bottom w:val="single" w:color="auto" w:sz="4" w:space="0"/>
              <w:right w:val="single" w:color="auto" w:sz="4" w:space="0"/>
            </w:tcBorders>
            <w:vAlign w:val="center"/>
          </w:tcPr>
          <w:p w14:paraId="0390B742">
            <w:pPr>
              <w:tabs>
                <w:tab w:val="left" w:pos="5505"/>
              </w:tabs>
              <w:spacing w:line="240" w:lineRule="exact"/>
              <w:jc w:val="center"/>
              <w:rPr>
                <w:sz w:val="26"/>
                <w:szCs w:val="26"/>
                <w:lang w:val="uk-UA"/>
              </w:rPr>
            </w:pPr>
            <w:r>
              <w:rPr>
                <w:sz w:val="26"/>
                <w:szCs w:val="26"/>
                <w:lang w:val="uk-UA"/>
              </w:rPr>
              <w:t>5764,0</w:t>
            </w:r>
          </w:p>
        </w:tc>
      </w:tr>
      <w:tr w14:paraId="5ECE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3402" w:type="dxa"/>
            <w:tcBorders>
              <w:top w:val="single" w:color="auto" w:sz="4" w:space="0"/>
              <w:left w:val="single" w:color="auto" w:sz="4" w:space="0"/>
              <w:bottom w:val="single" w:color="auto" w:sz="4" w:space="0"/>
              <w:right w:val="single" w:color="auto" w:sz="4" w:space="0"/>
            </w:tcBorders>
            <w:vAlign w:val="center"/>
          </w:tcPr>
          <w:p w14:paraId="46BD8A3C">
            <w:pPr>
              <w:spacing w:line="240" w:lineRule="exact"/>
              <w:rPr>
                <w:sz w:val="26"/>
                <w:szCs w:val="26"/>
                <w:lang w:val="uk-UA"/>
              </w:rPr>
            </w:pPr>
            <w:r>
              <w:rPr>
                <w:sz w:val="26"/>
                <w:szCs w:val="26"/>
                <w:lang w:val="uk-UA"/>
              </w:rPr>
              <w:t>Автозаправні станції</w:t>
            </w:r>
          </w:p>
        </w:tc>
        <w:tc>
          <w:tcPr>
            <w:tcW w:w="2160" w:type="dxa"/>
            <w:tcBorders>
              <w:top w:val="single" w:color="auto" w:sz="4" w:space="0"/>
              <w:left w:val="single" w:color="auto" w:sz="4" w:space="0"/>
              <w:bottom w:val="single" w:color="auto" w:sz="4" w:space="0"/>
              <w:right w:val="single" w:color="auto" w:sz="4" w:space="0"/>
            </w:tcBorders>
            <w:vAlign w:val="center"/>
          </w:tcPr>
          <w:p w14:paraId="68CF3DAD">
            <w:pPr>
              <w:tabs>
                <w:tab w:val="left" w:pos="5505"/>
              </w:tabs>
              <w:spacing w:line="240" w:lineRule="exact"/>
              <w:jc w:val="center"/>
              <w:rPr>
                <w:sz w:val="26"/>
                <w:szCs w:val="26"/>
                <w:lang w:val="uk-UA"/>
              </w:rPr>
            </w:pPr>
            <w:r>
              <w:rPr>
                <w:sz w:val="26"/>
                <w:szCs w:val="26"/>
                <w:lang w:val="uk-UA"/>
              </w:rPr>
              <w:t>-</w:t>
            </w:r>
          </w:p>
        </w:tc>
        <w:tc>
          <w:tcPr>
            <w:tcW w:w="1746" w:type="dxa"/>
            <w:tcBorders>
              <w:top w:val="single" w:color="auto" w:sz="4" w:space="0"/>
              <w:left w:val="single" w:color="auto" w:sz="4" w:space="0"/>
              <w:bottom w:val="single" w:color="auto" w:sz="4" w:space="0"/>
              <w:right w:val="single" w:color="auto" w:sz="4" w:space="0"/>
            </w:tcBorders>
            <w:vAlign w:val="center"/>
          </w:tcPr>
          <w:p w14:paraId="5C9D8F02">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157468E5">
            <w:pPr>
              <w:tabs>
                <w:tab w:val="left" w:pos="5505"/>
              </w:tabs>
              <w:spacing w:line="240" w:lineRule="exact"/>
              <w:ind w:left="-164" w:firstLine="328"/>
              <w:rPr>
                <w:sz w:val="26"/>
                <w:szCs w:val="26"/>
                <w:lang w:val="uk-UA"/>
              </w:rPr>
            </w:pPr>
            <w:r>
              <w:rPr>
                <w:sz w:val="26"/>
                <w:szCs w:val="26"/>
                <w:lang w:val="uk-UA"/>
              </w:rPr>
              <w:t>3373,5</w:t>
            </w:r>
          </w:p>
        </w:tc>
        <w:tc>
          <w:tcPr>
            <w:tcW w:w="1260" w:type="dxa"/>
            <w:tcBorders>
              <w:top w:val="single" w:color="auto" w:sz="4" w:space="0"/>
              <w:left w:val="single" w:color="auto" w:sz="4" w:space="0"/>
              <w:bottom w:val="single" w:color="auto" w:sz="4" w:space="0"/>
              <w:right w:val="single" w:color="auto" w:sz="4" w:space="0"/>
            </w:tcBorders>
            <w:vAlign w:val="center"/>
          </w:tcPr>
          <w:p w14:paraId="0199886A">
            <w:pPr>
              <w:tabs>
                <w:tab w:val="left" w:pos="5505"/>
              </w:tabs>
              <w:spacing w:line="240" w:lineRule="exact"/>
              <w:ind w:left="-164" w:firstLine="328"/>
              <w:rPr>
                <w:sz w:val="26"/>
                <w:szCs w:val="26"/>
                <w:lang w:val="uk-UA"/>
              </w:rPr>
            </w:pPr>
            <w:r>
              <w:rPr>
                <w:sz w:val="26"/>
                <w:szCs w:val="26"/>
                <w:lang w:val="uk-UA"/>
              </w:rPr>
              <w:t>6747,0</w:t>
            </w:r>
          </w:p>
        </w:tc>
      </w:tr>
      <w:tr w14:paraId="7AA4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vAlign w:val="center"/>
          </w:tcPr>
          <w:p w14:paraId="1EB0CC37">
            <w:pPr>
              <w:spacing w:line="240" w:lineRule="exact"/>
              <w:rPr>
                <w:sz w:val="26"/>
                <w:szCs w:val="26"/>
                <w:lang w:val="uk-UA"/>
              </w:rPr>
            </w:pPr>
            <w:r>
              <w:rPr>
                <w:sz w:val="26"/>
                <w:szCs w:val="26"/>
                <w:lang w:val="uk-UA"/>
              </w:rPr>
              <w:t xml:space="preserve">Інші нежитлові будівлі та приміщення </w:t>
            </w:r>
          </w:p>
        </w:tc>
        <w:tc>
          <w:tcPr>
            <w:tcW w:w="2160" w:type="dxa"/>
            <w:tcBorders>
              <w:top w:val="single" w:color="auto" w:sz="4" w:space="0"/>
              <w:left w:val="single" w:color="auto" w:sz="4" w:space="0"/>
              <w:bottom w:val="single" w:color="auto" w:sz="4" w:space="0"/>
              <w:right w:val="single" w:color="auto" w:sz="4" w:space="0"/>
            </w:tcBorders>
            <w:vAlign w:val="center"/>
          </w:tcPr>
          <w:p w14:paraId="3B52B5C8">
            <w:pPr>
              <w:tabs>
                <w:tab w:val="left" w:pos="5505"/>
              </w:tabs>
              <w:spacing w:line="240" w:lineRule="exact"/>
              <w:jc w:val="center"/>
              <w:rPr>
                <w:sz w:val="26"/>
                <w:szCs w:val="26"/>
                <w:lang w:val="uk-UA"/>
              </w:rPr>
            </w:pPr>
            <w:r>
              <w:rPr>
                <w:sz w:val="26"/>
                <w:szCs w:val="26"/>
                <w:lang w:val="uk-UA"/>
              </w:rPr>
              <w:t>-</w:t>
            </w:r>
          </w:p>
        </w:tc>
        <w:tc>
          <w:tcPr>
            <w:tcW w:w="1746" w:type="dxa"/>
            <w:tcBorders>
              <w:top w:val="single" w:color="auto" w:sz="4" w:space="0"/>
              <w:left w:val="single" w:color="auto" w:sz="4" w:space="0"/>
              <w:bottom w:val="single" w:color="auto" w:sz="4" w:space="0"/>
              <w:right w:val="single" w:color="auto" w:sz="4" w:space="0"/>
            </w:tcBorders>
            <w:vAlign w:val="center"/>
          </w:tcPr>
          <w:p w14:paraId="6AB0E3D4">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60A7BEE9">
            <w:pPr>
              <w:tabs>
                <w:tab w:val="left" w:pos="5505"/>
              </w:tabs>
              <w:spacing w:line="240" w:lineRule="exact"/>
              <w:ind w:left="-164" w:firstLine="328"/>
              <w:rPr>
                <w:sz w:val="26"/>
                <w:szCs w:val="26"/>
                <w:lang w:val="uk-UA"/>
              </w:rPr>
            </w:pPr>
            <w:r>
              <w:rPr>
                <w:sz w:val="26"/>
                <w:szCs w:val="26"/>
                <w:lang w:val="uk-UA"/>
              </w:rPr>
              <w:t>5023,5</w:t>
            </w:r>
          </w:p>
        </w:tc>
        <w:tc>
          <w:tcPr>
            <w:tcW w:w="1260" w:type="dxa"/>
            <w:tcBorders>
              <w:top w:val="single" w:color="auto" w:sz="4" w:space="0"/>
              <w:left w:val="single" w:color="auto" w:sz="4" w:space="0"/>
              <w:bottom w:val="single" w:color="auto" w:sz="4" w:space="0"/>
              <w:right w:val="single" w:color="auto" w:sz="4" w:space="0"/>
            </w:tcBorders>
            <w:vAlign w:val="center"/>
          </w:tcPr>
          <w:p w14:paraId="4FA3D1AA">
            <w:pPr>
              <w:tabs>
                <w:tab w:val="left" w:pos="5505"/>
              </w:tabs>
              <w:spacing w:line="240" w:lineRule="exact"/>
              <w:jc w:val="center"/>
              <w:rPr>
                <w:sz w:val="26"/>
                <w:szCs w:val="26"/>
                <w:lang w:val="uk-UA"/>
              </w:rPr>
            </w:pPr>
            <w:r>
              <w:rPr>
                <w:sz w:val="26"/>
                <w:szCs w:val="26"/>
                <w:lang w:val="uk-UA"/>
              </w:rPr>
              <w:t>10047,0</w:t>
            </w:r>
          </w:p>
        </w:tc>
      </w:tr>
      <w:tr w14:paraId="364E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14:paraId="1118E07E">
            <w:pPr>
              <w:spacing w:line="240" w:lineRule="exact"/>
              <w:rPr>
                <w:b/>
                <w:sz w:val="26"/>
                <w:szCs w:val="26"/>
                <w:lang w:val="uk-UA"/>
              </w:rPr>
            </w:pPr>
            <w:r>
              <w:rPr>
                <w:b/>
                <w:sz w:val="26"/>
                <w:szCs w:val="26"/>
                <w:lang w:val="uk-UA"/>
              </w:rPr>
              <w:t>Будівлі промислові та склади</w:t>
            </w:r>
          </w:p>
        </w:tc>
        <w:tc>
          <w:tcPr>
            <w:tcW w:w="2160" w:type="dxa"/>
            <w:tcBorders>
              <w:top w:val="single" w:color="auto" w:sz="4" w:space="0"/>
              <w:left w:val="single" w:color="auto" w:sz="4" w:space="0"/>
              <w:bottom w:val="single" w:color="auto" w:sz="4" w:space="0"/>
              <w:right w:val="single" w:color="auto" w:sz="4" w:space="0"/>
            </w:tcBorders>
            <w:shd w:val="clear" w:color="auto" w:fill="auto"/>
            <w:vAlign w:val="center"/>
          </w:tcPr>
          <w:p w14:paraId="75F4903B">
            <w:pPr>
              <w:tabs>
                <w:tab w:val="left" w:pos="5505"/>
              </w:tabs>
              <w:spacing w:line="240" w:lineRule="exact"/>
              <w:jc w:val="center"/>
              <w:rPr>
                <w:sz w:val="26"/>
                <w:szCs w:val="26"/>
                <w:lang w:val="uk-UA"/>
              </w:rPr>
            </w:pPr>
            <w:r>
              <w:rPr>
                <w:sz w:val="26"/>
                <w:szCs w:val="26"/>
                <w:lang w:val="uk-UA"/>
              </w:rPr>
              <w:t>125</w:t>
            </w:r>
          </w:p>
        </w:tc>
        <w:tc>
          <w:tcPr>
            <w:tcW w:w="1746" w:type="dxa"/>
            <w:tcBorders>
              <w:top w:val="single" w:color="auto" w:sz="4" w:space="0"/>
              <w:left w:val="single" w:color="auto" w:sz="4" w:space="0"/>
              <w:bottom w:val="single" w:color="auto" w:sz="4" w:space="0"/>
              <w:right w:val="single" w:color="auto" w:sz="4" w:space="0"/>
            </w:tcBorders>
            <w:shd w:val="clear" w:color="auto" w:fill="auto"/>
            <w:vAlign w:val="center"/>
          </w:tcPr>
          <w:p w14:paraId="6AA66D92">
            <w:pPr>
              <w:tabs>
                <w:tab w:val="left" w:pos="5505"/>
              </w:tabs>
              <w:spacing w:line="240" w:lineRule="exact"/>
              <w:jc w:val="center"/>
              <w:rPr>
                <w:sz w:val="26"/>
                <w:szCs w:val="26"/>
                <w:vertAlign w:val="superscript"/>
                <w:lang w:val="uk-UA"/>
              </w:rPr>
            </w:pPr>
            <w:r>
              <w:rPr>
                <w:sz w:val="26"/>
                <w:szCs w:val="26"/>
                <w:lang w:val="uk-UA"/>
              </w:rPr>
              <w:t>м</w:t>
            </w:r>
            <w:r>
              <w:rPr>
                <w:sz w:val="26"/>
                <w:szCs w:val="26"/>
                <w:vertAlign w:val="superscript"/>
                <w:lang w:val="uk-UA"/>
              </w:rPr>
              <w:t xml:space="preserve">2 </w:t>
            </w:r>
            <w:r>
              <w:rPr>
                <w:sz w:val="26"/>
                <w:szCs w:val="26"/>
                <w:lang w:val="uk-UA"/>
              </w:rPr>
              <w:t>загальної площі</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39AF792C">
            <w:pPr>
              <w:tabs>
                <w:tab w:val="left" w:pos="5505"/>
              </w:tabs>
              <w:spacing w:line="240" w:lineRule="exact"/>
              <w:ind w:left="-164" w:firstLine="328"/>
              <w:jc w:val="center"/>
              <w:rPr>
                <w:sz w:val="26"/>
                <w:szCs w:val="26"/>
                <w:lang w:val="uk-UA"/>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FDFFC0A">
            <w:pPr>
              <w:tabs>
                <w:tab w:val="left" w:pos="5505"/>
              </w:tabs>
              <w:spacing w:line="240" w:lineRule="exact"/>
              <w:ind w:left="-164" w:firstLine="328"/>
              <w:jc w:val="center"/>
              <w:rPr>
                <w:sz w:val="26"/>
                <w:szCs w:val="26"/>
                <w:lang w:val="uk-UA"/>
              </w:rPr>
            </w:pPr>
          </w:p>
        </w:tc>
      </w:tr>
      <w:tr w14:paraId="1419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402" w:type="dxa"/>
            <w:tcBorders>
              <w:top w:val="single" w:color="auto" w:sz="4" w:space="0"/>
              <w:left w:val="single" w:color="auto" w:sz="4" w:space="0"/>
              <w:bottom w:val="single" w:color="auto" w:sz="4" w:space="0"/>
              <w:right w:val="single" w:color="auto" w:sz="4" w:space="0"/>
            </w:tcBorders>
            <w:vAlign w:val="center"/>
          </w:tcPr>
          <w:p w14:paraId="69F2DB17">
            <w:pPr>
              <w:spacing w:line="240" w:lineRule="exact"/>
              <w:rPr>
                <w:b/>
                <w:sz w:val="26"/>
                <w:szCs w:val="26"/>
                <w:lang w:val="uk-UA"/>
              </w:rPr>
            </w:pPr>
            <w:r>
              <w:rPr>
                <w:sz w:val="26"/>
                <w:szCs w:val="26"/>
                <w:lang w:val="uk-UA"/>
              </w:rPr>
              <w:t>Будівлі підприємств</w:t>
            </w:r>
          </w:p>
        </w:tc>
        <w:tc>
          <w:tcPr>
            <w:tcW w:w="2160" w:type="dxa"/>
            <w:tcBorders>
              <w:top w:val="single" w:color="auto" w:sz="4" w:space="0"/>
              <w:left w:val="single" w:color="auto" w:sz="4" w:space="0"/>
              <w:bottom w:val="single" w:color="auto" w:sz="4" w:space="0"/>
              <w:right w:val="single" w:color="auto" w:sz="4" w:space="0"/>
            </w:tcBorders>
            <w:vAlign w:val="center"/>
          </w:tcPr>
          <w:p w14:paraId="18F19E50">
            <w:pPr>
              <w:tabs>
                <w:tab w:val="left" w:pos="5505"/>
              </w:tabs>
              <w:spacing w:line="240" w:lineRule="exact"/>
              <w:jc w:val="center"/>
              <w:rPr>
                <w:sz w:val="26"/>
                <w:szCs w:val="26"/>
                <w:lang w:val="uk-UA"/>
              </w:rPr>
            </w:pPr>
            <w:r>
              <w:rPr>
                <w:sz w:val="26"/>
                <w:szCs w:val="26"/>
                <w:lang w:val="uk-UA"/>
              </w:rPr>
              <w:t>1251</w:t>
            </w:r>
          </w:p>
        </w:tc>
        <w:tc>
          <w:tcPr>
            <w:tcW w:w="1746" w:type="dxa"/>
            <w:tcBorders>
              <w:top w:val="single" w:color="auto" w:sz="4" w:space="0"/>
              <w:left w:val="single" w:color="auto" w:sz="4" w:space="0"/>
              <w:bottom w:val="single" w:color="auto" w:sz="4" w:space="0"/>
              <w:right w:val="single" w:color="auto" w:sz="4" w:space="0"/>
            </w:tcBorders>
            <w:vAlign w:val="center"/>
          </w:tcPr>
          <w:p w14:paraId="0371A7B9">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1A77544E">
            <w:pPr>
              <w:tabs>
                <w:tab w:val="left" w:pos="5505"/>
              </w:tabs>
              <w:spacing w:line="240" w:lineRule="exact"/>
              <w:ind w:left="-164" w:firstLine="328"/>
              <w:rPr>
                <w:sz w:val="26"/>
                <w:szCs w:val="26"/>
                <w:lang w:val="uk-UA"/>
              </w:rPr>
            </w:pPr>
            <w:r>
              <w:rPr>
                <w:sz w:val="26"/>
                <w:szCs w:val="26"/>
                <w:lang w:val="uk-UA"/>
              </w:rPr>
              <w:t>5023,5</w:t>
            </w:r>
          </w:p>
        </w:tc>
        <w:tc>
          <w:tcPr>
            <w:tcW w:w="1260" w:type="dxa"/>
            <w:tcBorders>
              <w:top w:val="single" w:color="auto" w:sz="4" w:space="0"/>
              <w:left w:val="single" w:color="auto" w:sz="4" w:space="0"/>
              <w:bottom w:val="single" w:color="auto" w:sz="4" w:space="0"/>
              <w:right w:val="single" w:color="auto" w:sz="4" w:space="0"/>
            </w:tcBorders>
            <w:vAlign w:val="center"/>
          </w:tcPr>
          <w:p w14:paraId="0CD52E09">
            <w:pPr>
              <w:tabs>
                <w:tab w:val="left" w:pos="5505"/>
              </w:tabs>
              <w:spacing w:line="240" w:lineRule="exact"/>
              <w:jc w:val="center"/>
              <w:rPr>
                <w:sz w:val="26"/>
                <w:szCs w:val="26"/>
                <w:highlight w:val="yellow"/>
                <w:lang w:val="uk-UA"/>
              </w:rPr>
            </w:pPr>
            <w:r>
              <w:rPr>
                <w:sz w:val="26"/>
                <w:szCs w:val="26"/>
                <w:lang w:val="uk-UA"/>
              </w:rPr>
              <w:t>10047,0</w:t>
            </w:r>
          </w:p>
        </w:tc>
      </w:tr>
      <w:tr w14:paraId="608E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402" w:type="dxa"/>
            <w:tcBorders>
              <w:top w:val="single" w:color="auto" w:sz="4" w:space="0"/>
              <w:left w:val="single" w:color="auto" w:sz="4" w:space="0"/>
              <w:bottom w:val="single" w:color="auto" w:sz="4" w:space="0"/>
              <w:right w:val="single" w:color="auto" w:sz="4" w:space="0"/>
            </w:tcBorders>
            <w:vAlign w:val="center"/>
          </w:tcPr>
          <w:p w14:paraId="5FD0C8C8">
            <w:pPr>
              <w:spacing w:line="240" w:lineRule="exact"/>
              <w:rPr>
                <w:b/>
                <w:sz w:val="26"/>
                <w:szCs w:val="26"/>
                <w:lang w:val="uk-UA"/>
              </w:rPr>
            </w:pPr>
            <w:r>
              <w:rPr>
                <w:sz w:val="26"/>
                <w:szCs w:val="26"/>
                <w:lang w:val="uk-UA"/>
              </w:rPr>
              <w:t>Склади спеціальні товарні</w:t>
            </w:r>
          </w:p>
        </w:tc>
        <w:tc>
          <w:tcPr>
            <w:tcW w:w="2160" w:type="dxa"/>
            <w:tcBorders>
              <w:top w:val="single" w:color="auto" w:sz="4" w:space="0"/>
              <w:left w:val="single" w:color="auto" w:sz="4" w:space="0"/>
              <w:bottom w:val="single" w:color="auto" w:sz="4" w:space="0"/>
              <w:right w:val="single" w:color="auto" w:sz="4" w:space="0"/>
            </w:tcBorders>
            <w:vAlign w:val="center"/>
          </w:tcPr>
          <w:p w14:paraId="5E2375AB">
            <w:pPr>
              <w:tabs>
                <w:tab w:val="left" w:pos="5505"/>
              </w:tabs>
              <w:spacing w:line="240" w:lineRule="exact"/>
              <w:jc w:val="center"/>
              <w:rPr>
                <w:sz w:val="26"/>
                <w:szCs w:val="26"/>
                <w:lang w:val="uk-UA"/>
              </w:rPr>
            </w:pPr>
            <w:r>
              <w:rPr>
                <w:sz w:val="26"/>
                <w:szCs w:val="26"/>
                <w:lang w:val="uk-UA"/>
              </w:rPr>
              <w:t>1252</w:t>
            </w:r>
          </w:p>
        </w:tc>
        <w:tc>
          <w:tcPr>
            <w:tcW w:w="1746" w:type="dxa"/>
            <w:tcBorders>
              <w:top w:val="single" w:color="auto" w:sz="4" w:space="0"/>
              <w:left w:val="single" w:color="auto" w:sz="4" w:space="0"/>
              <w:bottom w:val="single" w:color="auto" w:sz="4" w:space="0"/>
              <w:right w:val="single" w:color="auto" w:sz="4" w:space="0"/>
            </w:tcBorders>
            <w:vAlign w:val="center"/>
          </w:tcPr>
          <w:p w14:paraId="37EEA890">
            <w:pPr>
              <w:tabs>
                <w:tab w:val="left" w:pos="5505"/>
              </w:tabs>
              <w:spacing w:line="240" w:lineRule="exact"/>
              <w:jc w:val="center"/>
              <w:rPr>
                <w:sz w:val="26"/>
                <w:szCs w:val="26"/>
                <w:lang w:val="uk-UA"/>
              </w:rPr>
            </w:pPr>
            <w:r>
              <w:rPr>
                <w:sz w:val="26"/>
                <w:szCs w:val="26"/>
                <w:lang w:val="uk-UA"/>
              </w:rPr>
              <w:t>-«-</w:t>
            </w:r>
          </w:p>
        </w:tc>
        <w:tc>
          <w:tcPr>
            <w:tcW w:w="1260" w:type="dxa"/>
            <w:tcBorders>
              <w:top w:val="single" w:color="auto" w:sz="4" w:space="0"/>
              <w:left w:val="single" w:color="auto" w:sz="4" w:space="0"/>
              <w:bottom w:val="single" w:color="auto" w:sz="4" w:space="0"/>
              <w:right w:val="single" w:color="auto" w:sz="4" w:space="0"/>
            </w:tcBorders>
            <w:vAlign w:val="center"/>
          </w:tcPr>
          <w:p w14:paraId="577EFE8E">
            <w:pPr>
              <w:tabs>
                <w:tab w:val="left" w:pos="5505"/>
              </w:tabs>
              <w:spacing w:line="240" w:lineRule="exact"/>
              <w:ind w:left="-164" w:firstLine="328"/>
              <w:rPr>
                <w:sz w:val="26"/>
                <w:szCs w:val="26"/>
                <w:lang w:val="uk-UA"/>
              </w:rPr>
            </w:pPr>
            <w:r>
              <w:rPr>
                <w:sz w:val="26"/>
                <w:szCs w:val="26"/>
                <w:lang w:val="uk-UA"/>
              </w:rPr>
              <w:t>3391,5</w:t>
            </w:r>
          </w:p>
        </w:tc>
        <w:tc>
          <w:tcPr>
            <w:tcW w:w="1260" w:type="dxa"/>
            <w:tcBorders>
              <w:top w:val="single" w:color="auto" w:sz="4" w:space="0"/>
              <w:left w:val="single" w:color="auto" w:sz="4" w:space="0"/>
              <w:bottom w:val="single" w:color="auto" w:sz="4" w:space="0"/>
              <w:right w:val="single" w:color="auto" w:sz="4" w:space="0"/>
            </w:tcBorders>
            <w:vAlign w:val="center"/>
          </w:tcPr>
          <w:p w14:paraId="62D3A408">
            <w:pPr>
              <w:tabs>
                <w:tab w:val="left" w:pos="5505"/>
              </w:tabs>
              <w:spacing w:line="240" w:lineRule="exact"/>
              <w:ind w:left="-164" w:firstLine="328"/>
              <w:rPr>
                <w:sz w:val="26"/>
                <w:szCs w:val="26"/>
                <w:lang w:val="uk-UA"/>
              </w:rPr>
            </w:pPr>
            <w:r>
              <w:rPr>
                <w:sz w:val="26"/>
                <w:szCs w:val="26"/>
                <w:lang w:val="uk-UA"/>
              </w:rPr>
              <w:t>6783,0</w:t>
            </w:r>
          </w:p>
        </w:tc>
      </w:tr>
    </w:tbl>
    <w:p w14:paraId="0DD6CB7F">
      <w:pPr>
        <w:ind w:left="5812"/>
        <w:rPr>
          <w:color w:val="000000"/>
          <w:lang w:val="uk-UA" w:eastAsia="uk-UA"/>
        </w:rPr>
      </w:pPr>
      <w:r>
        <w:rPr>
          <w:color w:val="000000"/>
          <w:lang w:eastAsia="uk-UA"/>
        </w:rPr>
        <w:t xml:space="preserve">Додаток </w:t>
      </w:r>
      <w:r>
        <w:rPr>
          <w:color w:val="000000"/>
          <w:lang w:val="uk-UA" w:eastAsia="uk-UA"/>
        </w:rPr>
        <w:t>2</w:t>
      </w:r>
    </w:p>
    <w:p w14:paraId="5484DF0C">
      <w:pPr>
        <w:ind w:left="5812"/>
        <w:jc w:val="both"/>
        <w:rPr>
          <w:lang w:val="uk-UA"/>
        </w:rPr>
      </w:pPr>
      <w:r>
        <w:rPr>
          <w:lang w:val="uk-UA"/>
        </w:rPr>
        <w:t xml:space="preserve">до порядку залучення, розрахунку розміру і використання коштів пайової участі у створені і розвитку інженерно-транспортної </w:t>
      </w:r>
    </w:p>
    <w:p w14:paraId="7E85C947">
      <w:pPr>
        <w:ind w:left="5812"/>
        <w:jc w:val="both"/>
        <w:rPr>
          <w:lang w:val="uk-UA"/>
        </w:rPr>
      </w:pPr>
      <w:r>
        <w:rPr>
          <w:lang w:val="uk-UA"/>
        </w:rPr>
        <w:t xml:space="preserve">та соціальної інфраструктури </w:t>
      </w:r>
    </w:p>
    <w:p w14:paraId="17AD806C">
      <w:pPr>
        <w:spacing w:line="293" w:lineRule="atLeast"/>
        <w:jc w:val="center"/>
        <w:rPr>
          <w:bCs/>
        </w:rPr>
      </w:pPr>
      <w:r>
        <w:rPr>
          <w:color w:val="000000"/>
        </w:rPr>
        <w:t xml:space="preserve">            </w:t>
      </w:r>
      <w:r>
        <w:rPr>
          <w:bCs/>
          <w:lang w:val="uk-UA"/>
        </w:rPr>
        <w:t>Примірний</w:t>
      </w:r>
      <w:r>
        <w:rPr>
          <w:bCs/>
        </w:rPr>
        <w:t xml:space="preserve"> договір</w:t>
      </w:r>
    </w:p>
    <w:p w14:paraId="3A45C989">
      <w:pPr>
        <w:widowControl w:val="0"/>
        <w:overflowPunct w:val="0"/>
        <w:autoSpaceDE w:val="0"/>
        <w:autoSpaceDN w:val="0"/>
        <w:adjustRightInd w:val="0"/>
        <w:ind w:right="-6"/>
        <w:jc w:val="center"/>
        <w:rPr>
          <w:bCs/>
        </w:rPr>
      </w:pPr>
      <w:r>
        <w:rPr>
          <w:bCs/>
        </w:rPr>
        <w:t>про пайову участь  замовника  у створенні і</w:t>
      </w:r>
      <w:r>
        <w:t xml:space="preserve"> </w:t>
      </w:r>
      <w:r>
        <w:rPr>
          <w:bCs/>
        </w:rPr>
        <w:t xml:space="preserve">розвитку інженерно-транспортної та соціальної інфраструктури населених пунктів </w:t>
      </w:r>
    </w:p>
    <w:p w14:paraId="3D218110">
      <w:pPr>
        <w:widowControl w:val="0"/>
        <w:overflowPunct w:val="0"/>
        <w:autoSpaceDE w:val="0"/>
        <w:autoSpaceDN w:val="0"/>
        <w:adjustRightInd w:val="0"/>
        <w:ind w:right="-6"/>
        <w:jc w:val="center"/>
        <w:rPr>
          <w:bCs/>
        </w:rPr>
      </w:pPr>
      <w:r>
        <w:rPr>
          <w:bCs/>
        </w:rPr>
        <w:t>Широківської сільської ради</w:t>
      </w:r>
    </w:p>
    <w:p w14:paraId="02D17903">
      <w:pPr>
        <w:widowControl w:val="0"/>
        <w:autoSpaceDE w:val="0"/>
        <w:autoSpaceDN w:val="0"/>
        <w:adjustRightInd w:val="0"/>
        <w:ind w:left="60"/>
        <w:jc w:val="both"/>
        <w:rPr>
          <w:bCs/>
        </w:rPr>
      </w:pPr>
      <w:r>
        <w:rPr>
          <w:bCs/>
        </w:rPr>
        <w:t xml:space="preserve"> «___» _____________20__ р.</w:t>
      </w:r>
    </w:p>
    <w:p w14:paraId="273CA98C">
      <w:pPr>
        <w:widowControl w:val="0"/>
        <w:autoSpaceDE w:val="0"/>
        <w:autoSpaceDN w:val="0"/>
        <w:adjustRightInd w:val="0"/>
        <w:ind w:left="60"/>
        <w:jc w:val="both"/>
        <w:rPr>
          <w:bCs/>
        </w:rPr>
      </w:pPr>
    </w:p>
    <w:p w14:paraId="7A5259BB">
      <w:pPr>
        <w:pStyle w:val="10"/>
        <w:spacing w:before="0" w:beforeAutospacing="0" w:after="0" w:afterAutospacing="0"/>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Широківська сільська рада, в особі сільського голови _____________, що діє на підставі Закону України  «Про місцеве самоврядування в Україні» з однієї сторони та  ___________________________, що діє на підставі __________ (далі – Замовник), з іншої сторони,</w:t>
      </w:r>
      <w:r>
        <w:rPr>
          <w:rFonts w:ascii="Times New Roman" w:hAnsi="Times New Roman" w:cs="Times New Roman"/>
          <w:color w:val="000000" w:themeColor="text1"/>
          <w:sz w:val="24"/>
          <w:szCs w:val="24"/>
          <w:lang w:val="en-US"/>
        </w:rPr>
        <w:t> </w:t>
      </w:r>
      <w:r>
        <w:rPr>
          <w:rFonts w:ascii="Times New Roman" w:hAnsi="Times New Roman" w:cs="Times New Roman"/>
          <w:color w:val="000000" w:themeColor="text1"/>
          <w:sz w:val="24"/>
          <w:szCs w:val="24"/>
        </w:rPr>
        <w:t xml:space="preserve"> (далі за текстом Договору – «Сторони»), уклали цей Договір про наступне:   </w:t>
      </w:r>
    </w:p>
    <w:p w14:paraId="254C4CDB">
      <w:pPr>
        <w:widowControl w:val="0"/>
        <w:autoSpaceDE w:val="0"/>
        <w:autoSpaceDN w:val="0"/>
        <w:adjustRightInd w:val="0"/>
        <w:ind w:left="4220"/>
        <w:jc w:val="both"/>
        <w:outlineLvl w:val="0"/>
        <w:rPr>
          <w:bCs/>
        </w:rPr>
      </w:pPr>
      <w:r>
        <w:rPr>
          <w:bCs/>
        </w:rPr>
        <w:t>І. Предмет Договору.</w:t>
      </w:r>
    </w:p>
    <w:p w14:paraId="2E9755DA">
      <w:pPr>
        <w:widowControl w:val="0"/>
        <w:numPr>
          <w:ilvl w:val="0"/>
          <w:numId w:val="1"/>
        </w:numPr>
        <w:tabs>
          <w:tab w:val="left" w:pos="1301"/>
          <w:tab w:val="clear" w:pos="720"/>
        </w:tabs>
        <w:overflowPunct w:val="0"/>
        <w:autoSpaceDE w:val="0"/>
        <w:autoSpaceDN w:val="0"/>
        <w:adjustRightInd w:val="0"/>
        <w:ind w:left="0" w:firstLine="701"/>
        <w:jc w:val="both"/>
      </w:pPr>
      <w:r>
        <w:t>Предметом даного Договору є пайовий внесок Замовника на розвиток інженерно-транспортної та соціальної інфраструктури населених пунктів Широківської сільської ради при здійсненні __________________________________.</w:t>
      </w:r>
    </w:p>
    <w:p w14:paraId="7EB69525">
      <w:pPr>
        <w:pStyle w:val="12"/>
        <w:ind w:firstLine="701"/>
        <w:jc w:val="both"/>
        <w:rPr>
          <w:b w:val="0"/>
          <w:bCs w:val="0"/>
          <w:szCs w:val="28"/>
        </w:rPr>
      </w:pPr>
      <w:r>
        <w:rPr>
          <w:b w:val="0"/>
          <w:szCs w:val="28"/>
        </w:rPr>
        <w:t xml:space="preserve">1.2. Відповідно до цього Договору Замовник зобов’язується взяти пайову участь у створенні і розвитку інженерно-транспортної та соціальної інфраструктури населених пунктів  та перерахувати до місцевого бюджету Широківської сільської ради (рахунок № ____________________, код ___________, МФО _________, ККД ____________, банк одержувача ___________________) (далі – Спеціальний рахунок), грошові кошти на пайову участь у створенні і розвитку інженерно-транспортної та соціальної інфраструктури населених пунктів Широківської сільської ради у розмірі, що дорівнює ____ % відсотків від загальної кошторисної вартості будівництва (реконструкції) об’єкта містобудування, відповідно до </w:t>
      </w:r>
      <w:r>
        <w:rPr>
          <w:b w:val="0"/>
          <w:bCs w:val="0"/>
          <w:szCs w:val="28"/>
        </w:rPr>
        <w:t>Порядку залучення, розрахунку розміру і використання коштів пайової участі у створенні і розвитку інженерно-транспортної інфраструктури, затверджений рішенням Широківської сільської ради від ____  ___________  ____ р. №_______ (далі Порядок).</w:t>
      </w:r>
    </w:p>
    <w:p w14:paraId="5A8FACEE">
      <w:pPr>
        <w:widowControl w:val="0"/>
        <w:autoSpaceDE w:val="0"/>
        <w:autoSpaceDN w:val="0"/>
        <w:adjustRightInd w:val="0"/>
        <w:ind w:left="3380"/>
        <w:jc w:val="both"/>
        <w:outlineLvl w:val="0"/>
        <w:rPr>
          <w:bCs/>
        </w:rPr>
      </w:pPr>
      <w:r>
        <w:rPr>
          <w:bCs/>
        </w:rPr>
        <w:t>ІІ. Сума договору та умови оплати.</w:t>
      </w:r>
    </w:p>
    <w:p w14:paraId="1669941F">
      <w:pPr>
        <w:widowControl w:val="0"/>
        <w:overflowPunct w:val="0"/>
        <w:autoSpaceDE w:val="0"/>
        <w:autoSpaceDN w:val="0"/>
        <w:adjustRightInd w:val="0"/>
        <w:ind w:firstLine="708"/>
        <w:jc w:val="both"/>
      </w:pPr>
      <w:r>
        <w:t>2.1. Замовник перераховує кошти на розвиток інженерно-транспортної та соціальної інфраструктури населених пунктів Широківської сільської ради у розмірі _____ (сума прописом) єдиним платежем або частинами, за графіком (додаток №1 до договору), на рахунок сільської ради відповідно до розрахунку у строк до  ___  ________  ____ року.</w:t>
      </w:r>
    </w:p>
    <w:p w14:paraId="7F46D2B9">
      <w:pPr>
        <w:widowControl w:val="0"/>
        <w:overflowPunct w:val="0"/>
        <w:autoSpaceDE w:val="0"/>
        <w:autoSpaceDN w:val="0"/>
        <w:adjustRightInd w:val="0"/>
        <w:ind w:firstLine="708"/>
        <w:jc w:val="both"/>
      </w:pPr>
      <w:r>
        <w:t>2.2. Кошти пайової участі у створенні і розвитку інженерно-транспортної та соціальної інфраструктури населених пунктів Широківської сільської ради сплачуються у повному обсязі до прийняття об’єкта в експлуатацію та/або граничного терміну сплати коштів пайової участі (зазначеного у п. 5.1. Порядку) єдиним платежем або частинами за графіком, що є невід’ємною  частиною даного Договору.</w:t>
      </w:r>
    </w:p>
    <w:p w14:paraId="028AB8B0">
      <w:pPr>
        <w:ind w:left="-360"/>
        <w:jc w:val="center"/>
      </w:pPr>
      <w:r>
        <w:t>ІІІ. Зобов’язання сторін</w:t>
      </w:r>
    </w:p>
    <w:p w14:paraId="1A436AC6">
      <w:pPr>
        <w:ind w:firstLine="720"/>
        <w:jc w:val="both"/>
      </w:pPr>
      <w:r>
        <w:t xml:space="preserve">3.1. </w:t>
      </w:r>
      <w:r>
        <w:rPr>
          <w:color w:val="000000"/>
        </w:rPr>
        <w:t>Замовник зобов’язується перерахувати (єдиним платежем або частинами за графіком) кошти, зазначені у пункті 2.1. цього Договору, на Спеціальний рахунок з призначенням платежу: «пайова участь у розвитку інфраструктури населених пунктів Широківської сільської ради».</w:t>
      </w:r>
    </w:p>
    <w:p w14:paraId="5C9C3C1D">
      <w:pPr>
        <w:ind w:firstLine="720"/>
        <w:jc w:val="both"/>
        <w:rPr>
          <w:color w:val="000000"/>
        </w:rPr>
      </w:pPr>
      <w:r>
        <w:t>3.2.</w:t>
      </w:r>
      <w:r>
        <w:rPr>
          <w:color w:val="000000"/>
        </w:rPr>
        <w:t xml:space="preserve"> </w:t>
      </w:r>
      <w:r>
        <w:rPr>
          <w:rStyle w:val="16"/>
          <w:color w:val="000000"/>
        </w:rPr>
        <w:t> </w:t>
      </w:r>
      <w:r>
        <w:rPr>
          <w:color w:val="000000"/>
        </w:rPr>
        <w:t>За цим Договором з моменту зарахування на Спеціальний рахунок, передбачених цим Договором грошових коштів на пайову участь у створенні і розвитку інженерно-транспортної та соціальної інфраструктури населених пунктів Широківської сільської ради. Замовник передає право володіння, користування та розпорядження вказаними коштами сільській раді відповідно до їх цільового призначення та в порядку, передбаченому чинним законодавством України. З вказаного моменту вищезазначені кошти стають комунальною власністю територіальної громади</w:t>
      </w:r>
      <w:r>
        <w:rPr>
          <w:rStyle w:val="16"/>
          <w:color w:val="000000"/>
        </w:rPr>
        <w:t>  Широківської сільської ради.</w:t>
      </w:r>
    </w:p>
    <w:p w14:paraId="1C266A11">
      <w:pPr>
        <w:ind w:firstLine="720"/>
        <w:jc w:val="both"/>
      </w:pPr>
      <w:r>
        <w:t xml:space="preserve">3.3. Широківська сільська рада зобов’язується </w:t>
      </w:r>
      <w:r>
        <w:rPr>
          <w:color w:val="000000"/>
        </w:rPr>
        <w:t>використовувати кошти, отримані як пайова участь у розвитку інфраструктури населених пунктів, виключно для створення і розвитку інженерно-транспортної та соціальної інфраструктури населених пунктів Широківської сільської ради</w:t>
      </w:r>
      <w:r>
        <w:t>.</w:t>
      </w:r>
    </w:p>
    <w:p w14:paraId="04000687">
      <w:pPr>
        <w:ind w:firstLine="720"/>
        <w:jc w:val="both"/>
      </w:pPr>
      <w:r>
        <w:t>3.4. Широківська сільська рада зобов’язується прийняти у комунальну власність інженерні мережі та/або об’єкти інженерної інфраструктури, збудовані Замовником відповідно до проектної документації поза межами земельної ділянки, відведеної Замовнику під забудову та відшкодувати Замовнику вартість їх будівництва за рахунок зменшення величини пайової участі.</w:t>
      </w:r>
    </w:p>
    <w:p w14:paraId="491FEABC">
      <w:pPr>
        <w:pStyle w:val="10"/>
        <w:spacing w:before="0" w:beforeAutospacing="0" w:after="0" w:afterAutospacing="0" w:line="293" w:lineRule="atLeast"/>
        <w:ind w:left="75" w:right="75"/>
        <w:jc w:val="center"/>
        <w:rPr>
          <w:rStyle w:val="11"/>
          <w:rFonts w:ascii="Times New Roman" w:hAnsi="Times New Roman" w:cs="Times New Roman"/>
          <w:b w:val="0"/>
          <w:color w:val="000000"/>
          <w:sz w:val="24"/>
          <w:szCs w:val="24"/>
        </w:rPr>
      </w:pPr>
      <w:r>
        <w:rPr>
          <w:rStyle w:val="11"/>
          <w:rFonts w:ascii="Times New Roman" w:hAnsi="Times New Roman" w:cs="Times New Roman"/>
          <w:b w:val="0"/>
          <w:color w:val="000000"/>
          <w:sz w:val="24"/>
          <w:szCs w:val="24"/>
        </w:rPr>
        <w:t>IV. Відповідальність Сторін.</w:t>
      </w:r>
    </w:p>
    <w:p w14:paraId="22461400">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4.1. У разі не виконання замовником будівництва умов Договору про пайову участь у розвитку інфраструктури населених пунктів Широківської сільської ради щодо перерахування в повному обсязі коштів, Широківська сільська рада здійснює необхідні заходи щодо примусового стягнення вказаних коштів у судовому порядку.</w:t>
      </w:r>
    </w:p>
    <w:p w14:paraId="54FA83AA">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4.2. Замовник у випадку несвоєчасної сплати внеску, передбаченого розділом 1 цього Договору  сплачує пеню в розмірі 0,3 % за кожний день прострочення від суми договору.</w:t>
      </w:r>
    </w:p>
    <w:p w14:paraId="303D62B6">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4.3. Сторони звільняються від відповідальності за часткове чи повне невиконання зобов’язань по цьому Договору, якщо це невиконання викликане обставинами форс-мажору.</w:t>
      </w:r>
    </w:p>
    <w:p w14:paraId="246D5FD5">
      <w:pPr>
        <w:widowControl w:val="0"/>
        <w:overflowPunct w:val="0"/>
        <w:autoSpaceDE w:val="0"/>
        <w:autoSpaceDN w:val="0"/>
        <w:adjustRightInd w:val="0"/>
        <w:ind w:left="120" w:firstLine="588"/>
        <w:jc w:val="both"/>
      </w:pPr>
      <w:r>
        <w:t>4.4.Сторони несуть відповідальність за виконання цього Договору в межах чинного законодавства.</w:t>
      </w:r>
    </w:p>
    <w:p w14:paraId="3EB06C08">
      <w:pPr>
        <w:pStyle w:val="10"/>
        <w:spacing w:before="0" w:beforeAutospacing="0" w:after="0" w:afterAutospacing="0" w:line="293" w:lineRule="atLeast"/>
        <w:ind w:left="75" w:right="75"/>
        <w:jc w:val="center"/>
        <w:rPr>
          <w:rStyle w:val="11"/>
          <w:rFonts w:ascii="Times New Roman" w:hAnsi="Times New Roman" w:cs="Times New Roman"/>
          <w:b w:val="0"/>
          <w:color w:val="000000"/>
          <w:sz w:val="24"/>
          <w:szCs w:val="24"/>
        </w:rPr>
      </w:pPr>
      <w:r>
        <w:rPr>
          <w:rStyle w:val="11"/>
          <w:rFonts w:ascii="Times New Roman" w:hAnsi="Times New Roman" w:cs="Times New Roman"/>
          <w:b w:val="0"/>
          <w:color w:val="000000"/>
          <w:sz w:val="24"/>
          <w:szCs w:val="24"/>
        </w:rPr>
        <w:t>V. Строк дії договору</w:t>
      </w:r>
    </w:p>
    <w:p w14:paraId="77383C24">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5.1. Цей Договір набуває чинності з моменту його підписання Сторонами та діє до повного ними виконання своїх зобов’язань за цим Договором.</w:t>
      </w:r>
    </w:p>
    <w:p w14:paraId="74DA9E12">
      <w:pPr>
        <w:pStyle w:val="10"/>
        <w:spacing w:before="0" w:beforeAutospacing="0" w:after="0" w:afterAutospacing="0" w:line="293" w:lineRule="atLeast"/>
        <w:ind w:left="75" w:right="75"/>
        <w:jc w:val="center"/>
        <w:rPr>
          <w:rStyle w:val="11"/>
          <w:rFonts w:ascii="Times New Roman" w:hAnsi="Times New Roman" w:cs="Times New Roman"/>
          <w:b w:val="0"/>
          <w:color w:val="000000"/>
          <w:sz w:val="24"/>
          <w:szCs w:val="24"/>
        </w:rPr>
      </w:pPr>
      <w:r>
        <w:rPr>
          <w:rStyle w:val="11"/>
          <w:rFonts w:ascii="Times New Roman" w:hAnsi="Times New Roman" w:cs="Times New Roman"/>
          <w:b w:val="0"/>
          <w:color w:val="000000"/>
          <w:sz w:val="24"/>
          <w:szCs w:val="24"/>
        </w:rPr>
        <w:t>VІ. Інші умови.</w:t>
      </w:r>
    </w:p>
    <w:p w14:paraId="5C13CD1E">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6.1. Зміни до цього договору вносяться в установленому законодавством порядку за взаємною згодою Сторін, шляхом укладання відповідних угод, які є невід’ємною частиною цього Договору або у судовому порядку.</w:t>
      </w:r>
    </w:p>
    <w:p w14:paraId="6276A96F">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6.2. Одностороння зміна умов або одностороння відмова від цього Договору неприпустима.</w:t>
      </w:r>
    </w:p>
    <w:p w14:paraId="18486AC4">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6.3. У випадках, не передбачених даним договором, сторони керуються чинним законодавством України.</w:t>
      </w:r>
    </w:p>
    <w:p w14:paraId="656548E5">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6.4. У випадку виникнення спору між Широківською сільською радою і Замовником, що стосується виконання зобов’язань згідно з умовами цього договору, сторони вживають заходи до їх врегулювання шляхом переговорів або у судовому порядку.</w:t>
      </w:r>
    </w:p>
    <w:p w14:paraId="6F689096">
      <w:pPr>
        <w:pStyle w:val="10"/>
        <w:spacing w:before="0" w:beforeAutospacing="0" w:after="0" w:afterAutospacing="0" w:line="293" w:lineRule="atLeast"/>
        <w:ind w:left="75" w:right="75" w:firstLine="633"/>
        <w:jc w:val="both"/>
        <w:rPr>
          <w:rFonts w:ascii="Times New Roman" w:hAnsi="Times New Roman" w:cs="Times New Roman"/>
          <w:color w:val="000000"/>
          <w:sz w:val="24"/>
          <w:szCs w:val="24"/>
        </w:rPr>
      </w:pPr>
      <w:r>
        <w:rPr>
          <w:rFonts w:ascii="Times New Roman" w:hAnsi="Times New Roman" w:cs="Times New Roman"/>
          <w:color w:val="000000"/>
          <w:sz w:val="24"/>
          <w:szCs w:val="24"/>
        </w:rPr>
        <w:t>6.5. Цей Договір складено у двох примірниках, які мають однакову юридичну силу, один з яких зберігається у Замовника, другий – у Широківській сільській раді.</w:t>
      </w:r>
    </w:p>
    <w:p w14:paraId="08041BCD">
      <w:pPr>
        <w:shd w:val="clear" w:color="auto" w:fill="FFFFFF"/>
        <w:tabs>
          <w:tab w:val="left" w:pos="7714"/>
        </w:tabs>
        <w:ind w:left="720"/>
        <w:contextualSpacing/>
        <w:jc w:val="both"/>
        <w:rPr>
          <w:b/>
          <w:bCs/>
          <w:color w:val="000000"/>
          <w:spacing w:val="19"/>
          <w:sz w:val="28"/>
          <w:szCs w:val="28"/>
        </w:rPr>
      </w:pPr>
    </w:p>
    <w:tbl>
      <w:tblPr>
        <w:tblStyle w:val="3"/>
        <w:tblW w:w="0" w:type="auto"/>
        <w:jc w:val="center"/>
        <w:tblLayout w:type="autofit"/>
        <w:tblCellMar>
          <w:top w:w="0" w:type="dxa"/>
          <w:left w:w="0" w:type="dxa"/>
          <w:bottom w:w="0" w:type="dxa"/>
          <w:right w:w="0" w:type="dxa"/>
        </w:tblCellMar>
      </w:tblPr>
      <w:tblGrid>
        <w:gridCol w:w="4911"/>
        <w:gridCol w:w="4660"/>
      </w:tblGrid>
      <w:tr w14:paraId="57E89627">
        <w:trPr>
          <w:jc w:val="center"/>
        </w:trPr>
        <w:tc>
          <w:tcPr>
            <w:tcW w:w="532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9B9AB92">
            <w:pPr>
              <w:pStyle w:val="17"/>
              <w:spacing w:line="240" w:lineRule="auto"/>
              <w:ind w:firstLine="709"/>
              <w:contextualSpacing/>
              <w:rPr>
                <w:bCs/>
                <w:color w:val="auto"/>
                <w:sz w:val="24"/>
                <w:szCs w:val="24"/>
                <w:lang w:val="uk-UA"/>
              </w:rPr>
            </w:pPr>
            <w:r>
              <w:rPr>
                <w:bCs/>
                <w:sz w:val="24"/>
                <w:szCs w:val="24"/>
                <w:lang w:val="uk-UA"/>
              </w:rPr>
              <w:t>Широківська сільська рада</w:t>
            </w:r>
          </w:p>
        </w:tc>
        <w:tc>
          <w:tcPr>
            <w:tcW w:w="4927" w:type="dxa"/>
            <w:tcBorders>
              <w:top w:val="single" w:color="auto" w:sz="8" w:space="0"/>
              <w:left w:val="nil"/>
              <w:bottom w:val="single" w:color="auto" w:sz="8" w:space="0"/>
              <w:right w:val="single" w:color="auto" w:sz="8" w:space="0"/>
            </w:tcBorders>
            <w:tcMar>
              <w:top w:w="0" w:type="dxa"/>
              <w:left w:w="108" w:type="dxa"/>
              <w:bottom w:w="0" w:type="dxa"/>
              <w:right w:w="108" w:type="dxa"/>
            </w:tcMar>
          </w:tcPr>
          <w:p w14:paraId="04FF495C">
            <w:pPr>
              <w:pStyle w:val="17"/>
              <w:spacing w:line="240" w:lineRule="auto"/>
              <w:ind w:firstLine="709"/>
              <w:contextualSpacing/>
              <w:rPr>
                <w:bCs/>
                <w:color w:val="auto"/>
                <w:sz w:val="24"/>
                <w:szCs w:val="24"/>
                <w:lang w:val="uk-UA"/>
              </w:rPr>
            </w:pPr>
            <w:r>
              <w:rPr>
                <w:bCs/>
                <w:spacing w:val="2"/>
                <w:sz w:val="24"/>
                <w:szCs w:val="24"/>
                <w:lang w:val="uk-UA"/>
              </w:rPr>
              <w:t>Замовник</w:t>
            </w:r>
          </w:p>
        </w:tc>
      </w:tr>
      <w:tr w14:paraId="21C1589E">
        <w:tblPrEx>
          <w:tblCellMar>
            <w:top w:w="0" w:type="dxa"/>
            <w:left w:w="0" w:type="dxa"/>
            <w:bottom w:w="0" w:type="dxa"/>
            <w:right w:w="0" w:type="dxa"/>
          </w:tblCellMar>
        </w:tblPrEx>
        <w:trPr>
          <w:trHeight w:val="1658" w:hRule="atLeast"/>
          <w:jc w:val="center"/>
        </w:trPr>
        <w:tc>
          <w:tcPr>
            <w:tcW w:w="5324" w:type="dxa"/>
            <w:tcBorders>
              <w:top w:val="nil"/>
              <w:left w:val="single" w:color="auto" w:sz="8" w:space="0"/>
              <w:bottom w:val="single" w:color="auto" w:sz="8" w:space="0"/>
              <w:right w:val="single" w:color="auto" w:sz="8" w:space="0"/>
            </w:tcBorders>
            <w:tcMar>
              <w:top w:w="0" w:type="dxa"/>
              <w:left w:w="108" w:type="dxa"/>
              <w:bottom w:w="0" w:type="dxa"/>
              <w:right w:w="108" w:type="dxa"/>
            </w:tcMar>
          </w:tcPr>
          <w:p w14:paraId="2FC56262">
            <w:pPr>
              <w:pStyle w:val="17"/>
              <w:spacing w:line="240" w:lineRule="auto"/>
              <w:ind w:firstLine="709"/>
              <w:contextualSpacing/>
              <w:rPr>
                <w:rStyle w:val="11"/>
                <w:sz w:val="24"/>
                <w:szCs w:val="24"/>
              </w:rPr>
            </w:pPr>
          </w:p>
        </w:tc>
        <w:tc>
          <w:tcPr>
            <w:tcW w:w="4927" w:type="dxa"/>
            <w:tcBorders>
              <w:top w:val="nil"/>
              <w:left w:val="nil"/>
              <w:bottom w:val="single" w:color="auto" w:sz="8" w:space="0"/>
              <w:right w:val="single" w:color="auto" w:sz="8" w:space="0"/>
            </w:tcBorders>
            <w:tcMar>
              <w:top w:w="0" w:type="dxa"/>
              <w:left w:w="108" w:type="dxa"/>
              <w:bottom w:w="0" w:type="dxa"/>
              <w:right w:w="108" w:type="dxa"/>
            </w:tcMar>
          </w:tcPr>
          <w:p w14:paraId="1CF7061B">
            <w:pPr>
              <w:ind w:firstLine="709"/>
              <w:contextualSpacing/>
              <w:jc w:val="both"/>
              <w:rPr>
                <w:rStyle w:val="11"/>
                <w:sz w:val="28"/>
                <w:szCs w:val="28"/>
              </w:rPr>
            </w:pPr>
          </w:p>
        </w:tc>
      </w:tr>
    </w:tbl>
    <w:p w14:paraId="2287529D">
      <w:pPr>
        <w:shd w:val="clear" w:color="auto" w:fill="FFFFFF"/>
        <w:tabs>
          <w:tab w:val="left" w:pos="6293"/>
        </w:tabs>
        <w:ind w:left="720"/>
        <w:contextualSpacing/>
        <w:jc w:val="both"/>
        <w:rPr>
          <w:color w:val="000000"/>
          <w:spacing w:val="-4"/>
          <w:lang w:val="uk-UA"/>
        </w:rPr>
      </w:pPr>
      <w:r>
        <w:rPr>
          <w:color w:val="000000"/>
          <w:spacing w:val="-5"/>
        </w:rPr>
        <w:t>М.П.</w:t>
      </w:r>
      <w:r>
        <w:rPr>
          <w:color w:val="000000"/>
        </w:rPr>
        <w:tab/>
      </w:r>
      <w:r>
        <w:rPr>
          <w:color w:val="000000"/>
          <w:spacing w:val="-4"/>
        </w:rPr>
        <w:t>М.П.</w:t>
      </w:r>
    </w:p>
    <w:p w14:paraId="1049F071">
      <w:pPr>
        <w:shd w:val="clear" w:color="auto" w:fill="FFFFFF"/>
        <w:tabs>
          <w:tab w:val="left" w:pos="6293"/>
        </w:tabs>
        <w:ind w:left="720"/>
        <w:contextualSpacing/>
        <w:jc w:val="both"/>
        <w:rPr>
          <w:lang w:val="uk-UA"/>
        </w:rPr>
      </w:pPr>
    </w:p>
    <w:p w14:paraId="3CEF7AFD">
      <w:pPr>
        <w:shd w:val="clear" w:color="auto" w:fill="FFFFFF"/>
        <w:tabs>
          <w:tab w:val="left" w:pos="6293"/>
        </w:tabs>
        <w:ind w:left="720"/>
        <w:contextualSpacing/>
        <w:jc w:val="both"/>
        <w:rPr>
          <w:lang w:val="uk-UA"/>
        </w:rPr>
      </w:pPr>
    </w:p>
    <w:p w14:paraId="0F53325B">
      <w:pPr>
        <w:widowControl w:val="0"/>
        <w:overflowPunct w:val="0"/>
        <w:autoSpaceDE w:val="0"/>
        <w:autoSpaceDN w:val="0"/>
        <w:adjustRightInd w:val="0"/>
        <w:spacing w:line="213" w:lineRule="auto"/>
        <w:ind w:left="5387" w:right="340" w:hanging="36"/>
        <w:rPr>
          <w:lang w:val="uk-UA"/>
        </w:rPr>
      </w:pPr>
    </w:p>
    <w:p w14:paraId="2B836C76">
      <w:pPr>
        <w:widowControl w:val="0"/>
        <w:overflowPunct w:val="0"/>
        <w:autoSpaceDE w:val="0"/>
        <w:autoSpaceDN w:val="0"/>
        <w:adjustRightInd w:val="0"/>
        <w:spacing w:line="213" w:lineRule="auto"/>
        <w:ind w:left="5387" w:right="340" w:hanging="36"/>
        <w:rPr>
          <w:lang w:val="uk-UA"/>
        </w:rPr>
      </w:pPr>
    </w:p>
    <w:p w14:paraId="63E90348">
      <w:pPr>
        <w:widowControl w:val="0"/>
        <w:overflowPunct w:val="0"/>
        <w:autoSpaceDE w:val="0"/>
        <w:autoSpaceDN w:val="0"/>
        <w:adjustRightInd w:val="0"/>
        <w:spacing w:line="213" w:lineRule="auto"/>
        <w:ind w:left="5387" w:right="340" w:hanging="36"/>
        <w:rPr>
          <w:lang w:val="uk-UA"/>
        </w:rPr>
      </w:pPr>
    </w:p>
    <w:p w14:paraId="5C7011E3">
      <w:pPr>
        <w:widowControl w:val="0"/>
        <w:overflowPunct w:val="0"/>
        <w:autoSpaceDE w:val="0"/>
        <w:autoSpaceDN w:val="0"/>
        <w:adjustRightInd w:val="0"/>
        <w:spacing w:line="213" w:lineRule="auto"/>
        <w:ind w:left="5387" w:right="340" w:hanging="36"/>
        <w:rPr>
          <w:lang w:val="uk-UA"/>
        </w:rPr>
      </w:pPr>
    </w:p>
    <w:p w14:paraId="33B444A6">
      <w:pPr>
        <w:widowControl w:val="0"/>
        <w:overflowPunct w:val="0"/>
        <w:autoSpaceDE w:val="0"/>
        <w:autoSpaceDN w:val="0"/>
        <w:adjustRightInd w:val="0"/>
        <w:spacing w:line="213" w:lineRule="auto"/>
        <w:ind w:left="5387" w:right="340" w:hanging="36"/>
        <w:rPr>
          <w:lang w:val="uk-UA"/>
        </w:rPr>
      </w:pPr>
    </w:p>
    <w:p w14:paraId="64288976">
      <w:pPr>
        <w:widowControl w:val="0"/>
        <w:overflowPunct w:val="0"/>
        <w:autoSpaceDE w:val="0"/>
        <w:autoSpaceDN w:val="0"/>
        <w:adjustRightInd w:val="0"/>
        <w:spacing w:line="213" w:lineRule="auto"/>
        <w:ind w:left="5387" w:right="340" w:hanging="36"/>
        <w:rPr>
          <w:lang w:val="uk-UA"/>
        </w:rPr>
      </w:pPr>
    </w:p>
    <w:p w14:paraId="1D3F5194">
      <w:pPr>
        <w:widowControl w:val="0"/>
        <w:overflowPunct w:val="0"/>
        <w:autoSpaceDE w:val="0"/>
        <w:autoSpaceDN w:val="0"/>
        <w:adjustRightInd w:val="0"/>
        <w:spacing w:line="213" w:lineRule="auto"/>
        <w:ind w:left="5387" w:right="340" w:hanging="36"/>
        <w:rPr>
          <w:lang w:val="uk-UA"/>
        </w:rPr>
      </w:pPr>
    </w:p>
    <w:p w14:paraId="77C29FF3">
      <w:pPr>
        <w:widowControl w:val="0"/>
        <w:overflowPunct w:val="0"/>
        <w:autoSpaceDE w:val="0"/>
        <w:autoSpaceDN w:val="0"/>
        <w:adjustRightInd w:val="0"/>
        <w:spacing w:line="213" w:lineRule="auto"/>
        <w:ind w:left="5387" w:right="340" w:hanging="36"/>
        <w:rPr>
          <w:lang w:val="uk-UA"/>
        </w:rPr>
      </w:pPr>
    </w:p>
    <w:p w14:paraId="157097F0">
      <w:pPr>
        <w:widowControl w:val="0"/>
        <w:overflowPunct w:val="0"/>
        <w:autoSpaceDE w:val="0"/>
        <w:autoSpaceDN w:val="0"/>
        <w:adjustRightInd w:val="0"/>
        <w:spacing w:line="213" w:lineRule="auto"/>
        <w:ind w:left="5387" w:right="340" w:hanging="36"/>
        <w:rPr>
          <w:lang w:val="uk-UA"/>
        </w:rPr>
      </w:pPr>
    </w:p>
    <w:p w14:paraId="7410AC73">
      <w:pPr>
        <w:autoSpaceDE w:val="0"/>
        <w:autoSpaceDN w:val="0"/>
        <w:adjustRightInd w:val="0"/>
        <w:jc w:val="center"/>
        <w:rPr>
          <w:rFonts w:eastAsia="Calibri"/>
          <w:bCs/>
          <w:lang w:val="uk-UA"/>
        </w:rPr>
      </w:pPr>
      <w:r>
        <w:rPr>
          <w:rFonts w:eastAsia="Calibri"/>
          <w:bCs/>
          <w:lang w:val="uk-UA"/>
        </w:rPr>
        <w:t>Розрахунок</w:t>
      </w:r>
    </w:p>
    <w:p w14:paraId="495B6B27">
      <w:pPr>
        <w:autoSpaceDE w:val="0"/>
        <w:autoSpaceDN w:val="0"/>
        <w:adjustRightInd w:val="0"/>
        <w:jc w:val="center"/>
        <w:rPr>
          <w:rFonts w:eastAsia="Calibri"/>
          <w:bCs/>
          <w:lang w:val="uk-UA"/>
        </w:rPr>
      </w:pPr>
      <w:r>
        <w:rPr>
          <w:rFonts w:eastAsia="Calibri"/>
          <w:bCs/>
          <w:lang w:val="uk-UA"/>
        </w:rPr>
        <w:t>розміру пайової участі у розвитку інженерно-транспортної</w:t>
      </w:r>
    </w:p>
    <w:p w14:paraId="0EAE16F5">
      <w:pPr>
        <w:autoSpaceDE w:val="0"/>
        <w:autoSpaceDN w:val="0"/>
        <w:adjustRightInd w:val="0"/>
        <w:jc w:val="center"/>
        <w:rPr>
          <w:rFonts w:eastAsia="Calibri"/>
          <w:bCs/>
          <w:lang w:val="uk-UA"/>
        </w:rPr>
      </w:pPr>
      <w:r>
        <w:rPr>
          <w:rFonts w:eastAsia="Calibri"/>
          <w:bCs/>
          <w:lang w:val="uk-UA"/>
        </w:rPr>
        <w:t>та соціальної інфраструктури Широківської сільської ради Запорізького району Запорізької області за Договором № ____ від «__» _______ 20___ року</w:t>
      </w:r>
    </w:p>
    <w:p w14:paraId="6EF00548">
      <w:pPr>
        <w:autoSpaceDE w:val="0"/>
        <w:autoSpaceDN w:val="0"/>
        <w:adjustRightInd w:val="0"/>
        <w:ind w:left="2832" w:firstLine="708"/>
        <w:jc w:val="both"/>
        <w:rPr>
          <w:rFonts w:eastAsia="Calibri"/>
          <w:b/>
          <w:bCs/>
          <w:lang w:val="uk-UA"/>
        </w:rPr>
      </w:pPr>
    </w:p>
    <w:p w14:paraId="6FD93742">
      <w:pPr>
        <w:autoSpaceDE w:val="0"/>
        <w:autoSpaceDN w:val="0"/>
        <w:adjustRightInd w:val="0"/>
        <w:ind w:firstLine="708"/>
        <w:jc w:val="both"/>
        <w:rPr>
          <w:rFonts w:eastAsia="Calibri"/>
          <w:lang w:val="uk-UA"/>
        </w:rPr>
      </w:pPr>
      <w:r>
        <w:rPr>
          <w:b/>
          <w:color w:val="000000" w:themeColor="text1"/>
          <w:lang w:val="uk-UA" w:eastAsia="uk-UA"/>
        </w:rPr>
        <w:t>Широківська сільська рада Запорізького району Запорізької області</w:t>
      </w:r>
      <w:r>
        <w:rPr>
          <w:color w:val="000000" w:themeColor="text1"/>
          <w:lang w:val="uk-UA" w:eastAsia="uk-UA"/>
        </w:rPr>
        <w:t xml:space="preserve">, в особі сільського голови ______________, що діє на підставі Закону України  «Про місцеве самоврядування в Україні» з однієї сторони та  </w:t>
      </w:r>
      <w:r>
        <w:rPr>
          <w:b/>
          <w:color w:val="000000" w:themeColor="text1"/>
          <w:lang w:val="uk-UA" w:eastAsia="uk-UA"/>
        </w:rPr>
        <w:t xml:space="preserve">___________________________________, </w:t>
      </w:r>
      <w:r>
        <w:rPr>
          <w:color w:val="000000" w:themeColor="text1"/>
          <w:lang w:val="uk-UA" w:eastAsia="uk-UA"/>
        </w:rPr>
        <w:t>в особі</w:t>
      </w:r>
      <w:r>
        <w:rPr>
          <w:b/>
          <w:color w:val="000000" w:themeColor="text1"/>
          <w:lang w:val="uk-UA" w:eastAsia="uk-UA"/>
        </w:rPr>
        <w:t xml:space="preserve"> </w:t>
      </w:r>
      <w:r>
        <w:rPr>
          <w:color w:val="000000" w:themeColor="text1"/>
          <w:lang w:val="uk-UA" w:eastAsia="uk-UA"/>
        </w:rPr>
        <w:t>_______________, що дії на підставі _________________  (далі – Замовник), з іншої сторони,</w:t>
      </w:r>
      <w:r>
        <w:rPr>
          <w:rFonts w:eastAsia="Calibri"/>
          <w:lang w:val="uk-UA"/>
        </w:rPr>
        <w:t xml:space="preserve"> відповідно до умов Договору </w:t>
      </w:r>
      <w:r>
        <w:rPr>
          <w:bCs/>
          <w:lang w:val="uk-UA"/>
        </w:rPr>
        <w:t>про пайову участь  замовника  у створенні і</w:t>
      </w:r>
      <w:r>
        <w:rPr>
          <w:lang w:val="uk-UA"/>
        </w:rPr>
        <w:t xml:space="preserve"> </w:t>
      </w:r>
      <w:r>
        <w:rPr>
          <w:bCs/>
          <w:lang w:val="uk-UA"/>
        </w:rPr>
        <w:t>розвитку інженерно-транспортної та соціальної інфраструктури населених пунктів Широківської сільської ради № _____ від «___» ______ 20___ року</w:t>
      </w:r>
      <w:r>
        <w:rPr>
          <w:rFonts w:eastAsia="Calibri"/>
          <w:lang w:val="uk-UA"/>
        </w:rPr>
        <w:t xml:space="preserve"> склали розрахунок величини пайової участі по об’єкту містобудування:</w:t>
      </w:r>
    </w:p>
    <w:p w14:paraId="10EDC260">
      <w:pPr>
        <w:widowControl w:val="0"/>
        <w:tabs>
          <w:tab w:val="left" w:pos="142"/>
          <w:tab w:val="left" w:pos="1301"/>
        </w:tabs>
        <w:overflowPunct w:val="0"/>
        <w:autoSpaceDE w:val="0"/>
        <w:autoSpaceDN w:val="0"/>
        <w:adjustRightInd w:val="0"/>
        <w:jc w:val="both"/>
        <w:rPr>
          <w:u w:val="single"/>
          <w:lang w:val="uk-UA"/>
        </w:rPr>
      </w:pPr>
      <w:r>
        <w:rPr>
          <w:u w:val="single"/>
          <w:lang w:val="uk-UA"/>
        </w:rPr>
        <w:t xml:space="preserve">______________________________________________________________________   </w:t>
      </w:r>
    </w:p>
    <w:p w14:paraId="278FFEB7">
      <w:pPr>
        <w:autoSpaceDE w:val="0"/>
        <w:autoSpaceDN w:val="0"/>
        <w:adjustRightInd w:val="0"/>
        <w:jc w:val="both"/>
        <w:rPr>
          <w:rFonts w:eastAsia="Calibri"/>
          <w:lang w:val="uk-UA"/>
        </w:rPr>
      </w:pPr>
      <w:r>
        <w:rPr>
          <w:rFonts w:eastAsia="Calibri"/>
          <w:u w:val="single"/>
          <w:lang w:val="uk-UA"/>
        </w:rPr>
        <w:t xml:space="preserve">  </w:t>
      </w:r>
    </w:p>
    <w:p w14:paraId="0131CE80">
      <w:pPr>
        <w:autoSpaceDE w:val="0"/>
        <w:autoSpaceDN w:val="0"/>
        <w:adjustRightInd w:val="0"/>
        <w:ind w:firstLine="708"/>
        <w:jc w:val="both"/>
        <w:rPr>
          <w:rFonts w:eastAsia="Calibri"/>
          <w:lang w:val="uk-UA"/>
        </w:rPr>
      </w:pPr>
      <w:r>
        <w:rPr>
          <w:rFonts w:eastAsia="Calibri"/>
          <w:lang w:val="uk-UA"/>
        </w:rPr>
        <w:t>1. Розрахунок величини пайової участі здійснено на підставі _________________</w:t>
      </w:r>
    </w:p>
    <w:p w14:paraId="5DB16F6B">
      <w:pPr>
        <w:autoSpaceDE w:val="0"/>
        <w:autoSpaceDN w:val="0"/>
        <w:adjustRightInd w:val="0"/>
        <w:ind w:firstLine="708"/>
        <w:jc w:val="both"/>
        <w:rPr>
          <w:rFonts w:eastAsia="Calibri"/>
          <w:lang w:val="uk-UA"/>
        </w:rPr>
      </w:pPr>
      <w:r>
        <w:rPr>
          <w:rFonts w:eastAsia="Calibri"/>
          <w:lang w:val="uk-UA"/>
        </w:rPr>
        <w:t>2. Згідно із зведеним кошторисним розрахунком вартості будівництва ______ загальна кошторисна вартість об’єкта будівництва становить: _____________________</w:t>
      </w:r>
    </w:p>
    <w:p w14:paraId="75355716">
      <w:pPr>
        <w:autoSpaceDE w:val="0"/>
        <w:autoSpaceDN w:val="0"/>
        <w:adjustRightInd w:val="0"/>
        <w:ind w:firstLine="708"/>
        <w:jc w:val="both"/>
        <w:rPr>
          <w:rFonts w:eastAsia="Calibri"/>
          <w:u w:val="single"/>
          <w:lang w:val="uk-UA"/>
        </w:rPr>
      </w:pPr>
      <w:r>
        <w:rPr>
          <w:rFonts w:eastAsia="Calibri"/>
          <w:lang w:val="uk-UA"/>
        </w:rPr>
        <w:t>3. Розмір пайової участі Замовників під час будівництва об’єктів, кошторисна вартість яких визначена згідно з будівельними нормами, державними стандартами і правилами, здійснюється за формулою:</w:t>
      </w:r>
    </w:p>
    <w:p w14:paraId="716DD793">
      <w:pPr>
        <w:autoSpaceDE w:val="0"/>
        <w:autoSpaceDN w:val="0"/>
        <w:adjustRightInd w:val="0"/>
        <w:jc w:val="center"/>
        <w:rPr>
          <w:rFonts w:eastAsia="Calibri"/>
          <w:lang w:val="uk-UA"/>
        </w:rPr>
      </w:pPr>
      <w:r>
        <w:rPr>
          <w:rFonts w:eastAsia="Calibri"/>
          <w:u w:val="single"/>
          <w:lang w:val="uk-UA"/>
        </w:rPr>
        <w:t>ПУ = ( ЗКВБ – Вз – Вбм – Вім ) х 10%</w:t>
      </w:r>
      <w:r>
        <w:rPr>
          <w:rFonts w:eastAsia="Calibri"/>
          <w:lang w:val="uk-UA"/>
        </w:rPr>
        <w:t xml:space="preserve"> де:</w:t>
      </w:r>
    </w:p>
    <w:p w14:paraId="6949B56C">
      <w:pPr>
        <w:autoSpaceDE w:val="0"/>
        <w:autoSpaceDN w:val="0"/>
        <w:adjustRightInd w:val="0"/>
        <w:ind w:firstLine="708"/>
        <w:jc w:val="both"/>
        <w:rPr>
          <w:rFonts w:eastAsia="Calibri"/>
          <w:lang w:val="uk-UA"/>
        </w:rPr>
      </w:pPr>
      <w:r>
        <w:rPr>
          <w:rFonts w:eastAsia="Calibri"/>
          <w:lang w:val="uk-UA"/>
        </w:rPr>
        <w:t>ПУ – пайова участь;</w:t>
      </w:r>
    </w:p>
    <w:p w14:paraId="175B6FD5">
      <w:pPr>
        <w:autoSpaceDE w:val="0"/>
        <w:autoSpaceDN w:val="0"/>
        <w:adjustRightInd w:val="0"/>
        <w:ind w:firstLine="708"/>
        <w:jc w:val="both"/>
        <w:rPr>
          <w:rFonts w:eastAsia="Calibri"/>
          <w:lang w:val="uk-UA"/>
        </w:rPr>
      </w:pPr>
      <w:r>
        <w:rPr>
          <w:rFonts w:eastAsia="Calibri"/>
          <w:lang w:val="uk-UA"/>
        </w:rPr>
        <w:t>ЗКВБ – загальна кошторисна вартість будівництва;</w:t>
      </w:r>
    </w:p>
    <w:p w14:paraId="4CA97B0D">
      <w:pPr>
        <w:autoSpaceDE w:val="0"/>
        <w:autoSpaceDN w:val="0"/>
        <w:adjustRightInd w:val="0"/>
        <w:ind w:firstLine="708"/>
        <w:jc w:val="both"/>
        <w:rPr>
          <w:rFonts w:eastAsia="Calibri"/>
          <w:lang w:val="uk-UA"/>
        </w:rPr>
      </w:pPr>
      <w:r>
        <w:rPr>
          <w:rFonts w:eastAsia="Calibri"/>
          <w:lang w:val="uk-UA"/>
        </w:rPr>
        <w:t>Вз – витрати, пов’язані з придбанням та виділенням земельної ділянки;</w:t>
      </w:r>
    </w:p>
    <w:p w14:paraId="308F1A77">
      <w:pPr>
        <w:autoSpaceDE w:val="0"/>
        <w:autoSpaceDN w:val="0"/>
        <w:adjustRightInd w:val="0"/>
        <w:ind w:firstLine="708"/>
        <w:jc w:val="both"/>
        <w:rPr>
          <w:rFonts w:eastAsia="Calibri"/>
          <w:lang w:val="uk-UA"/>
        </w:rPr>
      </w:pPr>
      <w:r>
        <w:rPr>
          <w:rFonts w:eastAsia="Calibri"/>
          <w:lang w:val="uk-UA"/>
        </w:rPr>
        <w:t>Вбм – витрати, пов’язані зі звільненням будівельного майданчика від будівель, споруд та інженерних мереж;</w:t>
      </w:r>
    </w:p>
    <w:p w14:paraId="12F881FA">
      <w:pPr>
        <w:autoSpaceDE w:val="0"/>
        <w:autoSpaceDN w:val="0"/>
        <w:adjustRightInd w:val="0"/>
        <w:ind w:firstLine="708"/>
        <w:jc w:val="both"/>
        <w:rPr>
          <w:rFonts w:eastAsia="Calibri"/>
          <w:lang w:val="uk-UA"/>
        </w:rPr>
      </w:pPr>
      <w:r>
        <w:rPr>
          <w:rFonts w:eastAsia="Calibri"/>
          <w:lang w:val="uk-UA"/>
        </w:rPr>
        <w:t>Вім – витрати на влаштування позамайданчикових інженерних мереж і споруд та транспортних комунікацій;</w:t>
      </w:r>
    </w:p>
    <w:p w14:paraId="0EDB6EBE">
      <w:pPr>
        <w:autoSpaceDE w:val="0"/>
        <w:autoSpaceDN w:val="0"/>
        <w:adjustRightInd w:val="0"/>
        <w:ind w:firstLine="708"/>
        <w:jc w:val="both"/>
        <w:rPr>
          <w:rFonts w:eastAsia="Calibri"/>
          <w:lang w:val="uk-UA"/>
        </w:rPr>
      </w:pPr>
      <w:r>
        <w:rPr>
          <w:rFonts w:eastAsia="Calibri"/>
          <w:lang w:val="uk-UA"/>
        </w:rPr>
        <w:t>Ст – відсоток від загальної вартості будівництва, визначений згідно з Порядком.</w:t>
      </w:r>
    </w:p>
    <w:p w14:paraId="3F37E0BC">
      <w:pPr>
        <w:autoSpaceDE w:val="0"/>
        <w:autoSpaceDN w:val="0"/>
        <w:adjustRightInd w:val="0"/>
        <w:ind w:firstLine="708"/>
        <w:jc w:val="both"/>
        <w:rPr>
          <w:rFonts w:eastAsia="Calibri"/>
          <w:lang w:val="uk-UA"/>
        </w:rPr>
      </w:pPr>
      <w:r>
        <w:rPr>
          <w:rFonts w:eastAsia="Calibri"/>
          <w:lang w:val="uk-UA"/>
        </w:rPr>
        <w:t xml:space="preserve">4. </w:t>
      </w:r>
      <w:r>
        <w:rPr>
          <w:rFonts w:eastAsiaTheme="minorHAnsi"/>
          <w:lang w:eastAsia="en-US"/>
        </w:rPr>
        <w:t>Розмір пайової участі визначений за</w:t>
      </w:r>
      <w:r>
        <w:rPr>
          <w:rFonts w:eastAsiaTheme="minorHAnsi"/>
          <w:lang w:val="uk-UA" w:eastAsia="en-US"/>
        </w:rPr>
        <w:t xml:space="preserve"> наведеною</w:t>
      </w:r>
      <w:r>
        <w:rPr>
          <w:rFonts w:eastAsiaTheme="minorHAnsi"/>
          <w:lang w:eastAsia="en-US"/>
        </w:rPr>
        <w:t xml:space="preserve"> формулою становить </w:t>
      </w:r>
      <w:r>
        <w:rPr>
          <w:rFonts w:eastAsiaTheme="minorHAnsi"/>
          <w:lang w:val="uk-UA" w:eastAsia="en-US"/>
        </w:rPr>
        <w:t>___________________________________________________________________</w:t>
      </w:r>
    </w:p>
    <w:p w14:paraId="3EADF7DD">
      <w:pPr>
        <w:widowControl w:val="0"/>
        <w:overflowPunct w:val="0"/>
        <w:autoSpaceDE w:val="0"/>
        <w:autoSpaceDN w:val="0"/>
        <w:adjustRightInd w:val="0"/>
        <w:ind w:right="-6" w:firstLine="708"/>
        <w:jc w:val="both"/>
        <w:rPr>
          <w:rFonts w:eastAsia="Calibri"/>
          <w:lang w:val="uk-UA"/>
        </w:rPr>
      </w:pPr>
      <w:r>
        <w:rPr>
          <w:rFonts w:eastAsia="Calibri"/>
          <w:lang w:val="uk-UA"/>
        </w:rPr>
        <w:t xml:space="preserve">5. Цей Додаток є невід’ємною частиною Договору </w:t>
      </w:r>
      <w:r>
        <w:rPr>
          <w:bCs/>
          <w:lang w:val="uk-UA"/>
        </w:rPr>
        <w:t>про пайову участь  замовника  у створенні і</w:t>
      </w:r>
      <w:r>
        <w:rPr>
          <w:lang w:val="uk-UA"/>
        </w:rPr>
        <w:t xml:space="preserve"> </w:t>
      </w:r>
      <w:r>
        <w:rPr>
          <w:bCs/>
          <w:lang w:val="uk-UA"/>
        </w:rPr>
        <w:t xml:space="preserve">розвитку інженерно-транспортної та соціальної інфраструктури населених пунктів Широківської сільської ради </w:t>
      </w:r>
      <w:r>
        <w:rPr>
          <w:rFonts w:eastAsia="Calibri"/>
          <w:lang w:val="uk-UA"/>
        </w:rPr>
        <w:t xml:space="preserve"> від «__» ___________ 20___ р. № _______________</w:t>
      </w:r>
    </w:p>
    <w:p w14:paraId="4C45C214">
      <w:pPr>
        <w:widowControl w:val="0"/>
        <w:overflowPunct w:val="0"/>
        <w:autoSpaceDE w:val="0"/>
        <w:autoSpaceDN w:val="0"/>
        <w:adjustRightInd w:val="0"/>
        <w:ind w:right="-6" w:firstLine="708"/>
        <w:jc w:val="both"/>
        <w:rPr>
          <w:rFonts w:eastAsia="Calibri"/>
          <w:lang w:val="uk-UA"/>
        </w:rPr>
      </w:pPr>
    </w:p>
    <w:p w14:paraId="58F7BACE">
      <w:pPr>
        <w:autoSpaceDE w:val="0"/>
        <w:autoSpaceDN w:val="0"/>
        <w:adjustRightInd w:val="0"/>
        <w:jc w:val="both"/>
        <w:rPr>
          <w:rFonts w:eastAsia="Calibri"/>
          <w:b/>
          <w:bCs/>
          <w:lang w:val="uk-UA"/>
        </w:rPr>
      </w:pPr>
      <w:r>
        <w:rPr>
          <w:rFonts w:eastAsia="Calibri"/>
          <w:b/>
          <w:bCs/>
          <w:lang w:val="uk-UA"/>
        </w:rPr>
        <w:t>Широківська сільська рада                                               Замовник</w:t>
      </w:r>
    </w:p>
    <w:p w14:paraId="3D58A2F3">
      <w:pPr>
        <w:autoSpaceDE w:val="0"/>
        <w:autoSpaceDN w:val="0"/>
        <w:adjustRightInd w:val="0"/>
        <w:jc w:val="both"/>
        <w:rPr>
          <w:rFonts w:eastAsia="Calibri"/>
          <w:b/>
          <w:bCs/>
          <w:lang w:val="uk-UA"/>
        </w:rPr>
      </w:pPr>
    </w:p>
    <w:p w14:paraId="532B61C6">
      <w:pPr>
        <w:jc w:val="both"/>
      </w:pPr>
      <w:r>
        <w:t xml:space="preserve">_______________                                         </w:t>
      </w:r>
      <w:r>
        <w:tab/>
      </w:r>
      <w:r>
        <w:tab/>
      </w:r>
      <w:r>
        <w:t xml:space="preserve">            _______________ </w:t>
      </w:r>
    </w:p>
    <w:p w14:paraId="59D58C51">
      <w:pPr>
        <w:jc w:val="both"/>
      </w:pPr>
      <w:r>
        <w:t xml:space="preserve">        (підпис)                                                              </w:t>
      </w:r>
      <w:r>
        <w:tab/>
      </w:r>
      <w:r>
        <w:t xml:space="preserve">                (підпис)</w:t>
      </w:r>
    </w:p>
    <w:p w14:paraId="34DC10E1">
      <w:pPr>
        <w:jc w:val="both"/>
      </w:pPr>
    </w:p>
    <w:p w14:paraId="73B86D42">
      <w:pPr>
        <w:jc w:val="both"/>
      </w:pPr>
      <w:r>
        <w:t xml:space="preserve"> „____” _________________ 201__р.                                      ”___” ______________ 201__р.</w:t>
      </w:r>
    </w:p>
    <w:p w14:paraId="0445F3D3">
      <w:pPr>
        <w:jc w:val="both"/>
      </w:pPr>
      <w:r>
        <w:t xml:space="preserve"> </w:t>
      </w:r>
    </w:p>
    <w:p w14:paraId="1F4C0AFB">
      <w:pPr>
        <w:jc w:val="both"/>
      </w:pPr>
      <w:r>
        <w:t xml:space="preserve">                М.П.                                                                                                                         М.П.</w:t>
      </w:r>
    </w:p>
    <w:p w14:paraId="753988C7">
      <w:pPr>
        <w:autoSpaceDE w:val="0"/>
        <w:autoSpaceDN w:val="0"/>
        <w:adjustRightInd w:val="0"/>
        <w:jc w:val="both"/>
        <w:rPr>
          <w:rFonts w:eastAsia="Calibri"/>
          <w:b/>
          <w:bCs/>
          <w:lang w:val="uk-UA"/>
        </w:rPr>
      </w:pPr>
    </w:p>
    <w:p w14:paraId="275C2019"/>
    <w:p w14:paraId="34BB6743"/>
    <w:p w14:paraId="092AD14F"/>
    <w:p w14:paraId="26A37397"/>
    <w:p w14:paraId="12491C93"/>
    <w:p w14:paraId="09DEDE42"/>
    <w:p w14:paraId="7F6381E9"/>
    <w:p w14:paraId="35357736"/>
    <w:p w14:paraId="03E9D1CA"/>
    <w:p w14:paraId="45B00AC4">
      <w:pPr>
        <w:jc w:val="center"/>
      </w:pPr>
      <w:r>
        <w:t>ГРАФІК</w:t>
      </w:r>
    </w:p>
    <w:p w14:paraId="10B0E945">
      <w:pPr>
        <w:jc w:val="center"/>
      </w:pPr>
      <w:r>
        <w:t>оплати коштів пайової участі (внеску) замовників (юридичних, фізичних осіб) у створенні і розвитку інженерно-транспортної та соціальної інфраструктури</w:t>
      </w:r>
    </w:p>
    <w:p w14:paraId="7649977C">
      <w:pPr>
        <w:jc w:val="both"/>
      </w:pPr>
      <w:r>
        <w:t xml:space="preserve">  </w:t>
      </w:r>
    </w:p>
    <w:p w14:paraId="13FF556E">
      <w:pPr>
        <w:jc w:val="both"/>
      </w:pPr>
      <w:r>
        <w:t xml:space="preserve"> с. Широке                                                                                 «____»___________ 201___р.</w:t>
      </w:r>
    </w:p>
    <w:p w14:paraId="46E3465A">
      <w:pPr>
        <w:jc w:val="both"/>
      </w:pPr>
    </w:p>
    <w:p w14:paraId="157DB145">
      <w:pPr>
        <w:ind w:firstLine="840"/>
        <w:jc w:val="both"/>
      </w:pPr>
      <w:r>
        <w:t xml:space="preserve">Широківська сільська рада, в особі сільського голови _______________________, що діє на підставі Закону України «Про місцеве  самоврядування в Україні», з одного боку, та ___________________________________________, з іншого боку (далі – «Замовник»),  (далі за текстом Договору – «Сторони»), відповідно до умов Договору про пайову участь (внесок) Замовника у створенні і розвитку інженерно-транспортної та соціальної інфраструктури населених пунктів Широківської сільської ради від «____» _______________ 20 ___ р. № ______ домовилися про таке : </w:t>
      </w:r>
    </w:p>
    <w:p w14:paraId="7366093E">
      <w:pPr>
        <w:ind w:firstLine="840"/>
        <w:jc w:val="both"/>
      </w:pPr>
    </w:p>
    <w:p w14:paraId="28D08E67">
      <w:pPr>
        <w:numPr>
          <w:ilvl w:val="0"/>
          <w:numId w:val="2"/>
        </w:numPr>
        <w:jc w:val="both"/>
      </w:pPr>
      <w:r>
        <w:t>Оплату за договором буде здійснено окремими частинами у такому розмірі та у строки :</w:t>
      </w:r>
    </w:p>
    <w:p w14:paraId="7AF51FAD">
      <w:pPr>
        <w:jc w:val="both"/>
      </w:pPr>
      <w:r>
        <w:t xml:space="preserve">__% від загального розміру пайової участі, у сумі  </w:t>
      </w:r>
      <w:r>
        <w:rPr>
          <w:b/>
        </w:rPr>
        <w:t>_____</w:t>
      </w:r>
      <w:r>
        <w:t>(сума прописом). До « __» ____ 201_ року;</w:t>
      </w:r>
    </w:p>
    <w:p w14:paraId="6544E383">
      <w:pPr>
        <w:jc w:val="both"/>
      </w:pPr>
      <w:r>
        <w:t xml:space="preserve">__% від загального розміру пайової участі, у сумі  </w:t>
      </w:r>
      <w:r>
        <w:rPr>
          <w:b/>
        </w:rPr>
        <w:t>_____</w:t>
      </w:r>
      <w:r>
        <w:t>(сума прописом). До « __» ____ 201_ року;</w:t>
      </w:r>
    </w:p>
    <w:p w14:paraId="53EC767F">
      <w:pPr>
        <w:jc w:val="both"/>
      </w:pPr>
    </w:p>
    <w:p w14:paraId="73184C2F">
      <w:pPr>
        <w:numPr>
          <w:ilvl w:val="0"/>
          <w:numId w:val="2"/>
        </w:numPr>
        <w:jc w:val="both"/>
      </w:pPr>
      <w:r>
        <w:t xml:space="preserve">Цей Додаток є невід’ємною частиною Договору про пайову участь (внеску) замовників у створенні і розвитку інженерно-транспортної та соціальної інфраструктури від «___»__________ 201__р. № ____. </w:t>
      </w:r>
    </w:p>
    <w:p w14:paraId="51259F91">
      <w:pPr>
        <w:jc w:val="both"/>
        <w:rPr>
          <w:b/>
        </w:rPr>
      </w:pPr>
      <w:r>
        <w:t xml:space="preserve">  </w:t>
      </w:r>
      <w:r>
        <w:rPr>
          <w:b/>
        </w:rPr>
        <w:t xml:space="preserve">                                                          </w:t>
      </w:r>
      <w:r>
        <w:rPr>
          <w:b/>
        </w:rPr>
        <w:tab/>
      </w:r>
      <w:r>
        <w:rPr>
          <w:b/>
        </w:rPr>
        <w:t xml:space="preserve">                   </w:t>
      </w:r>
    </w:p>
    <w:p w14:paraId="11E8CC7D">
      <w:pPr>
        <w:jc w:val="both"/>
      </w:pPr>
      <w:r>
        <w:t>Широківська сільська рада                                                  Замовник</w:t>
      </w:r>
    </w:p>
    <w:p w14:paraId="76C181A6">
      <w:pPr>
        <w:rPr>
          <w:b/>
        </w:rPr>
      </w:pPr>
    </w:p>
    <w:p w14:paraId="01E2C882">
      <w:pPr>
        <w:rPr>
          <w:b/>
        </w:rPr>
      </w:pPr>
    </w:p>
    <w:p w14:paraId="07950003">
      <w:pPr>
        <w:rPr>
          <w:b/>
        </w:rPr>
      </w:pPr>
    </w:p>
    <w:p w14:paraId="2FE20610">
      <w:pPr>
        <w:rPr>
          <w:b/>
        </w:rPr>
      </w:pPr>
      <w:r>
        <w:rPr>
          <w:b/>
        </w:rPr>
        <w:t xml:space="preserve">                                          </w:t>
      </w:r>
    </w:p>
    <w:p w14:paraId="69FE1CF3">
      <w:pPr>
        <w:jc w:val="both"/>
      </w:pPr>
      <w:r>
        <w:t xml:space="preserve">_______________                                         </w:t>
      </w:r>
      <w:r>
        <w:tab/>
      </w:r>
      <w:r>
        <w:tab/>
      </w:r>
      <w:r>
        <w:t xml:space="preserve">            _______________ </w:t>
      </w:r>
    </w:p>
    <w:p w14:paraId="783700A2">
      <w:pPr>
        <w:jc w:val="both"/>
      </w:pPr>
      <w:r>
        <w:t xml:space="preserve">        (підпис)                                                              </w:t>
      </w:r>
      <w:r>
        <w:tab/>
      </w:r>
      <w:r>
        <w:t xml:space="preserve">                (підпис)</w:t>
      </w:r>
    </w:p>
    <w:p w14:paraId="2D62DD96">
      <w:pPr>
        <w:jc w:val="both"/>
      </w:pPr>
    </w:p>
    <w:p w14:paraId="7C516523">
      <w:pPr>
        <w:jc w:val="both"/>
      </w:pPr>
      <w:r>
        <w:t xml:space="preserve"> „____” _________________ 201__р.                                      ”___” ______________ 201__р.</w:t>
      </w:r>
    </w:p>
    <w:p w14:paraId="381FD6D7">
      <w:pPr>
        <w:jc w:val="both"/>
      </w:pPr>
      <w:r>
        <w:t xml:space="preserve"> </w:t>
      </w:r>
    </w:p>
    <w:p w14:paraId="306CDB02">
      <w:pPr>
        <w:jc w:val="both"/>
      </w:pPr>
      <w:r>
        <w:t xml:space="preserve">                М.П.                                                                                                                         М.П.</w:t>
      </w:r>
    </w:p>
    <w:p w14:paraId="4E7440A6"/>
    <w:p w14:paraId="2348947D">
      <w:pPr>
        <w:pStyle w:val="10"/>
        <w:ind w:firstLine="709"/>
        <w:contextualSpacing/>
        <w:jc w:val="center"/>
        <w:rPr>
          <w:rFonts w:ascii="Times New Roman" w:hAnsi="Times New Roman" w:cs="Times New Roman"/>
          <w:b/>
          <w:color w:val="000000" w:themeColor="text1"/>
          <w:sz w:val="24"/>
          <w:szCs w:val="24"/>
        </w:rPr>
      </w:pPr>
    </w:p>
    <w:p w14:paraId="4C2504D7">
      <w:pPr>
        <w:pStyle w:val="10"/>
        <w:ind w:firstLine="709"/>
        <w:contextualSpacing/>
        <w:jc w:val="center"/>
        <w:rPr>
          <w:rFonts w:ascii="Times New Roman" w:hAnsi="Times New Roman" w:cs="Times New Roman"/>
          <w:b/>
          <w:color w:val="000000" w:themeColor="text1"/>
          <w:sz w:val="24"/>
          <w:szCs w:val="24"/>
        </w:rPr>
      </w:pPr>
    </w:p>
    <w:p w14:paraId="088A0059">
      <w:pPr>
        <w:pStyle w:val="10"/>
        <w:ind w:firstLine="709"/>
        <w:contextualSpacing/>
        <w:jc w:val="center"/>
        <w:rPr>
          <w:rFonts w:ascii="Times New Roman" w:hAnsi="Times New Roman" w:cs="Times New Roman"/>
          <w:b/>
          <w:color w:val="000000" w:themeColor="text1"/>
          <w:sz w:val="24"/>
          <w:szCs w:val="24"/>
        </w:rPr>
      </w:pPr>
    </w:p>
    <w:p w14:paraId="676ECEAB">
      <w:pPr>
        <w:pStyle w:val="10"/>
        <w:ind w:firstLine="709"/>
        <w:contextualSpacing/>
        <w:jc w:val="center"/>
        <w:rPr>
          <w:rFonts w:ascii="Times New Roman" w:hAnsi="Times New Roman" w:cs="Times New Roman"/>
          <w:b/>
          <w:color w:val="000000" w:themeColor="text1"/>
          <w:sz w:val="24"/>
          <w:szCs w:val="24"/>
        </w:rPr>
      </w:pPr>
    </w:p>
    <w:p w14:paraId="61E97CB5">
      <w:pPr>
        <w:pStyle w:val="10"/>
        <w:ind w:firstLine="709"/>
        <w:contextualSpacing/>
        <w:jc w:val="center"/>
        <w:rPr>
          <w:rFonts w:ascii="Times New Roman" w:hAnsi="Times New Roman" w:cs="Times New Roman"/>
          <w:b/>
          <w:color w:val="000000" w:themeColor="text1"/>
          <w:sz w:val="24"/>
          <w:szCs w:val="24"/>
        </w:rPr>
      </w:pPr>
    </w:p>
    <w:p w14:paraId="176F9903">
      <w:pPr>
        <w:pStyle w:val="10"/>
        <w:ind w:firstLine="709"/>
        <w:contextualSpacing/>
        <w:jc w:val="center"/>
        <w:rPr>
          <w:rFonts w:ascii="Times New Roman" w:hAnsi="Times New Roman" w:cs="Times New Roman"/>
          <w:b/>
          <w:color w:val="000000" w:themeColor="text1"/>
          <w:sz w:val="24"/>
          <w:szCs w:val="24"/>
        </w:rPr>
      </w:pPr>
    </w:p>
    <w:p w14:paraId="6CBD592E">
      <w:pPr>
        <w:pStyle w:val="10"/>
        <w:ind w:firstLine="709"/>
        <w:contextualSpacing/>
        <w:jc w:val="center"/>
        <w:rPr>
          <w:rFonts w:ascii="Times New Roman" w:hAnsi="Times New Roman" w:cs="Times New Roman"/>
          <w:b/>
          <w:color w:val="000000" w:themeColor="text1"/>
          <w:sz w:val="24"/>
          <w:szCs w:val="24"/>
        </w:rPr>
      </w:pPr>
    </w:p>
    <w:p w14:paraId="1819D9C5">
      <w:pPr>
        <w:pStyle w:val="10"/>
        <w:ind w:firstLine="709"/>
        <w:contextualSpacing/>
        <w:jc w:val="center"/>
        <w:rPr>
          <w:rFonts w:ascii="Times New Roman" w:hAnsi="Times New Roman" w:cs="Times New Roman"/>
          <w:b/>
          <w:color w:val="000000" w:themeColor="text1"/>
          <w:sz w:val="24"/>
          <w:szCs w:val="24"/>
        </w:rPr>
      </w:pPr>
    </w:p>
    <w:p w14:paraId="2193708F">
      <w:pPr>
        <w:pStyle w:val="10"/>
        <w:ind w:firstLine="709"/>
        <w:contextualSpacing/>
        <w:jc w:val="center"/>
        <w:rPr>
          <w:rFonts w:ascii="Times New Roman" w:hAnsi="Times New Roman" w:cs="Times New Roman"/>
          <w:b/>
          <w:color w:val="000000" w:themeColor="text1"/>
          <w:sz w:val="24"/>
          <w:szCs w:val="24"/>
        </w:rPr>
      </w:pPr>
    </w:p>
    <w:p w14:paraId="6BA08388">
      <w:pPr>
        <w:pStyle w:val="10"/>
        <w:ind w:firstLine="709"/>
        <w:contextualSpacing/>
        <w:jc w:val="center"/>
        <w:rPr>
          <w:rFonts w:ascii="Times New Roman" w:hAnsi="Times New Roman" w:cs="Times New Roman"/>
          <w:b/>
          <w:color w:val="000000" w:themeColor="text1"/>
          <w:sz w:val="24"/>
          <w:szCs w:val="24"/>
        </w:rPr>
      </w:pPr>
    </w:p>
    <w:p w14:paraId="24D24FFB">
      <w:pPr>
        <w:pStyle w:val="10"/>
        <w:ind w:firstLine="709"/>
        <w:contextualSpacing/>
        <w:jc w:val="center"/>
        <w:rPr>
          <w:rFonts w:ascii="Times New Roman" w:hAnsi="Times New Roman" w:cs="Times New Roman"/>
          <w:b/>
          <w:color w:val="000000" w:themeColor="text1"/>
          <w:sz w:val="24"/>
          <w:szCs w:val="24"/>
        </w:rPr>
      </w:pPr>
    </w:p>
    <w:p w14:paraId="2FA3B407">
      <w:pPr>
        <w:pStyle w:val="10"/>
        <w:ind w:firstLine="709"/>
        <w:contextualSpacing/>
        <w:jc w:val="center"/>
        <w:rPr>
          <w:rFonts w:ascii="Times New Roman" w:hAnsi="Times New Roman" w:cs="Times New Roman"/>
          <w:b/>
          <w:color w:val="000000" w:themeColor="text1"/>
          <w:sz w:val="24"/>
          <w:szCs w:val="24"/>
        </w:rPr>
      </w:pPr>
    </w:p>
    <w:p w14:paraId="2F9CCFEF">
      <w:pPr>
        <w:pStyle w:val="10"/>
        <w:ind w:firstLine="709"/>
        <w:contextualSpacing/>
        <w:jc w:val="center"/>
        <w:rPr>
          <w:rFonts w:ascii="Times New Roman" w:hAnsi="Times New Roman" w:cs="Times New Roman"/>
          <w:b/>
          <w:color w:val="000000" w:themeColor="text1"/>
          <w:sz w:val="24"/>
          <w:szCs w:val="24"/>
        </w:rPr>
      </w:pPr>
    </w:p>
    <w:p w14:paraId="452E7338">
      <w:pPr>
        <w:pStyle w:val="10"/>
        <w:ind w:firstLine="709"/>
        <w:contextualSpacing/>
        <w:jc w:val="center"/>
        <w:rPr>
          <w:rFonts w:ascii="Times New Roman" w:hAnsi="Times New Roman" w:cs="Times New Roman"/>
          <w:b/>
          <w:color w:val="000000" w:themeColor="text1"/>
          <w:sz w:val="24"/>
          <w:szCs w:val="24"/>
        </w:rPr>
      </w:pPr>
    </w:p>
    <w:p w14:paraId="7F3CF359">
      <w:pPr>
        <w:pStyle w:val="10"/>
        <w:ind w:firstLine="709"/>
        <w:contextualSpacing/>
        <w:jc w:val="center"/>
        <w:rPr>
          <w:rFonts w:ascii="Times New Roman" w:hAnsi="Times New Roman" w:cs="Times New Roman"/>
          <w:b/>
          <w:color w:val="000000" w:themeColor="text1"/>
          <w:sz w:val="24"/>
          <w:szCs w:val="24"/>
        </w:rPr>
      </w:pPr>
    </w:p>
    <w:p w14:paraId="32486081">
      <w:pPr>
        <w:pStyle w:val="10"/>
        <w:ind w:firstLine="709"/>
        <w:contextualSpacing/>
        <w:jc w:val="center"/>
        <w:rPr>
          <w:rFonts w:ascii="Times New Roman" w:hAnsi="Times New Roman" w:cs="Times New Roman"/>
          <w:b/>
          <w:color w:val="000000" w:themeColor="text1"/>
          <w:sz w:val="24"/>
          <w:szCs w:val="24"/>
        </w:rPr>
      </w:pPr>
    </w:p>
    <w:p w14:paraId="47E25C43">
      <w:pPr>
        <w:pStyle w:val="10"/>
        <w:ind w:firstLine="709"/>
        <w:contextualSpacing/>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Аналіз регуляторного впливу –</w:t>
      </w:r>
    </w:p>
    <w:p w14:paraId="757545FB">
      <w:pPr>
        <w:pStyle w:val="5"/>
        <w:spacing w:after="0"/>
        <w:ind w:firstLine="709"/>
        <w:contextualSpacing/>
        <w:jc w:val="center"/>
        <w:rPr>
          <w:b/>
          <w:color w:val="000000" w:themeColor="text1"/>
          <w:lang w:val="uk-UA"/>
        </w:rPr>
      </w:pPr>
      <w:r>
        <w:rPr>
          <w:b/>
          <w:color w:val="000000" w:themeColor="text1"/>
          <w:lang w:val="uk-UA"/>
        </w:rPr>
        <w:t>Проекту рішення Широківської сільської ради</w:t>
      </w:r>
    </w:p>
    <w:p w14:paraId="43F27EC8">
      <w:pPr>
        <w:jc w:val="both"/>
        <w:rPr>
          <w:b/>
          <w:color w:val="000000" w:themeColor="text1"/>
          <w:lang w:val="uk-UA"/>
        </w:rPr>
      </w:pPr>
      <w:r>
        <w:rPr>
          <w:b/>
          <w:color w:val="000000" w:themeColor="text1"/>
          <w:lang w:val="uk-UA"/>
        </w:rPr>
        <w:t>«</w:t>
      </w:r>
      <w:r>
        <w:rPr>
          <w:b/>
          <w:lang w:val="uk-UA"/>
        </w:rPr>
        <w:t>Про впорядкування відносин залучення, розрахунку розміру і використання коштів пайової участі у створені і розвитку інженерно-транспортної та соціальної інфраструктури</w:t>
      </w:r>
      <w:r>
        <w:rPr>
          <w:b/>
          <w:color w:val="000000" w:themeColor="text1"/>
          <w:lang w:val="uk-UA"/>
        </w:rPr>
        <w:t>»</w:t>
      </w:r>
    </w:p>
    <w:p w14:paraId="26D537A0">
      <w:pPr>
        <w:pStyle w:val="5"/>
        <w:spacing w:after="0"/>
        <w:ind w:firstLine="709"/>
        <w:contextualSpacing/>
        <w:jc w:val="center"/>
        <w:rPr>
          <w:b/>
          <w:color w:val="000000" w:themeColor="text1"/>
          <w:lang w:val="uk-UA" w:eastAsia="uk-UA"/>
        </w:rPr>
      </w:pPr>
    </w:p>
    <w:p w14:paraId="115B06B9">
      <w:pPr>
        <w:pStyle w:val="5"/>
        <w:spacing w:after="0"/>
        <w:ind w:firstLine="709"/>
        <w:contextualSpacing/>
        <w:jc w:val="both"/>
        <w:rPr>
          <w:color w:val="000000" w:themeColor="text1"/>
          <w:lang w:val="uk-UA" w:eastAsia="uk-UA"/>
        </w:rPr>
      </w:pPr>
      <w:r>
        <w:rPr>
          <w:color w:val="000000" w:themeColor="text1"/>
          <w:lang w:val="uk-UA" w:eastAsia="uk-UA"/>
        </w:rPr>
        <w:t>Аналіз регуляторного впливу</w:t>
      </w:r>
      <w:r>
        <w:rPr>
          <w:color w:val="000000" w:themeColor="text1"/>
          <w:lang w:eastAsia="uk-UA"/>
        </w:rPr>
        <w:t> </w:t>
      </w:r>
      <w:r>
        <w:rPr>
          <w:color w:val="000000" w:themeColor="text1"/>
          <w:lang w:val="uk-UA" w:eastAsia="uk-UA"/>
        </w:rPr>
        <w:t>проекту рішення Широківської сільської ради</w:t>
      </w:r>
      <w:r>
        <w:rPr>
          <w:color w:val="000000" w:themeColor="text1"/>
          <w:lang w:eastAsia="uk-UA"/>
        </w:rPr>
        <w:t> </w:t>
      </w:r>
      <w:r>
        <w:rPr>
          <w:color w:val="000000" w:themeColor="text1"/>
          <w:lang w:val="uk-UA" w:eastAsia="uk-UA"/>
        </w:rPr>
        <w:t xml:space="preserve"> «</w:t>
      </w:r>
      <w:r>
        <w:rPr>
          <w:lang w:val="uk-UA"/>
        </w:rPr>
        <w:t>Про</w:t>
      </w:r>
      <w:r>
        <w:rPr>
          <w:b/>
          <w:lang w:val="uk-UA"/>
        </w:rPr>
        <w:t xml:space="preserve"> </w:t>
      </w:r>
      <w:r>
        <w:rPr>
          <w:lang w:val="uk-UA"/>
        </w:rPr>
        <w:t>впорядкування відносин залучення, розрахунку розміру і використання коштів пайової участі у створені і розвитку інженерно-транспортної та соціальної інфраструктури</w:t>
      </w:r>
      <w:r>
        <w:rPr>
          <w:color w:val="000000" w:themeColor="text1"/>
          <w:lang w:val="uk-UA" w:eastAsia="uk-UA"/>
        </w:rPr>
        <w:t>»</w:t>
      </w:r>
      <w:r>
        <w:rPr>
          <w:color w:val="000000" w:themeColor="text1"/>
          <w:lang w:eastAsia="uk-UA"/>
        </w:rPr>
        <w:t> </w:t>
      </w:r>
      <w:r>
        <w:rPr>
          <w:color w:val="000000" w:themeColor="text1"/>
          <w:lang w:val="uk-UA" w:eastAsia="uk-UA"/>
        </w:rPr>
        <w:t xml:space="preserve"> розроблено згідно з вимогами Закону України «Про засади державної регуляторної політики у сфері господарської діяльності».</w:t>
      </w:r>
    </w:p>
    <w:p w14:paraId="5FD56F19">
      <w:pPr>
        <w:pStyle w:val="5"/>
        <w:spacing w:after="0"/>
        <w:ind w:firstLine="709"/>
        <w:contextualSpacing/>
        <w:jc w:val="both"/>
        <w:rPr>
          <w:color w:val="000000" w:themeColor="text1"/>
          <w:lang w:val="uk-UA" w:eastAsia="uk-UA"/>
        </w:rPr>
      </w:pPr>
    </w:p>
    <w:p w14:paraId="423FF46D">
      <w:pPr>
        <w:shd w:val="clear" w:color="auto" w:fill="FFFFFF"/>
        <w:tabs>
          <w:tab w:val="left" w:pos="720"/>
          <w:tab w:val="left" w:pos="3802"/>
        </w:tabs>
        <w:spacing w:line="370" w:lineRule="exact"/>
        <w:rPr>
          <w:b/>
          <w:lang w:val="uk-UA"/>
        </w:rPr>
      </w:pPr>
      <w:r>
        <w:rPr>
          <w:b/>
          <w:lang w:val="uk-UA"/>
        </w:rPr>
        <w:t>1. Визначення проблеми.</w:t>
      </w:r>
    </w:p>
    <w:p w14:paraId="62E46603">
      <w:pPr>
        <w:jc w:val="both"/>
        <w:rPr>
          <w:lang w:val="uk-UA"/>
        </w:rPr>
      </w:pPr>
      <w:r>
        <w:rPr>
          <w:lang w:val="uk-UA"/>
        </w:rPr>
        <w:t xml:space="preserve"> </w:t>
      </w:r>
      <w:r>
        <w:rPr>
          <w:lang w:val="uk-UA"/>
        </w:rPr>
        <w:tab/>
      </w:r>
      <w:r>
        <w:rPr>
          <w:lang w:val="uk-UA"/>
        </w:rPr>
        <w:t xml:space="preserve">На сьогоднішній день право органів місцевого самоврядування залучати кошти замовників (інвесторів) будівництва об’єктів для пайової участі у створенні і розвитку інфраструктури населених пунктів встановлено рядом нормативно-правових актів, прийнятих на державному рівні. </w:t>
      </w:r>
    </w:p>
    <w:p w14:paraId="4F9597E0">
      <w:pPr>
        <w:jc w:val="both"/>
        <w:rPr>
          <w:lang w:val="uk-UA"/>
        </w:rPr>
      </w:pPr>
      <w:r>
        <w:rPr>
          <w:color w:val="000000"/>
          <w:lang w:val="uk-UA"/>
        </w:rPr>
        <w:t xml:space="preserve">    </w:t>
      </w:r>
      <w:r>
        <w:rPr>
          <w:color w:val="000000"/>
          <w:lang w:val="uk-UA"/>
        </w:rPr>
        <w:tab/>
      </w:r>
      <w:r>
        <w:rPr>
          <w:color w:val="000000"/>
          <w:lang w:val="uk-UA"/>
        </w:rPr>
        <w:t xml:space="preserve">Законом України </w:t>
      </w:r>
      <w:r>
        <w:rPr>
          <w:lang w:val="uk-UA"/>
        </w:rPr>
        <w:t>«</w:t>
      </w:r>
      <w:r>
        <w:rPr>
          <w:color w:val="000000"/>
          <w:lang w:val="uk-UA"/>
        </w:rPr>
        <w:t>Про регулювання містобудівної діяльності</w:t>
      </w:r>
      <w:r>
        <w:rPr>
          <w:lang w:val="uk-UA"/>
        </w:rPr>
        <w:t>» (далі – Закон)</w:t>
      </w:r>
      <w:r>
        <w:rPr>
          <w:b/>
          <w:lang w:val="uk-UA"/>
        </w:rPr>
        <w:t xml:space="preserve"> </w:t>
      </w:r>
      <w:r>
        <w:rPr>
          <w:lang w:val="uk-UA"/>
        </w:rPr>
        <w:t xml:space="preserve">були внесені зміни щодо регулювання питань залучення, розрахунку розміру і використання коштів пайової участі у розвитку інфраструктури населених пунктів. </w:t>
      </w:r>
    </w:p>
    <w:p w14:paraId="216AB9C2">
      <w:pPr>
        <w:jc w:val="both"/>
        <w:rPr>
          <w:color w:val="000000"/>
          <w:shd w:val="clear" w:color="auto" w:fill="FFFFFF"/>
          <w:lang w:val="uk-UA"/>
        </w:rPr>
      </w:pPr>
      <w:r>
        <w:rPr>
          <w:lang w:val="uk-UA"/>
        </w:rPr>
        <w:t xml:space="preserve">    </w:t>
      </w:r>
      <w:r>
        <w:rPr>
          <w:lang w:val="uk-UA"/>
        </w:rPr>
        <w:tab/>
      </w:r>
      <w:r>
        <w:rPr>
          <w:lang w:val="uk-UA"/>
        </w:rPr>
        <w:t xml:space="preserve">Статтею 40 Закону України чітко передбачено, що </w:t>
      </w:r>
      <w:r>
        <w:rPr>
          <w:color w:val="000000"/>
          <w:shd w:val="clear" w:color="auto" w:fill="FFFFFF"/>
          <w:lang w:val="uk-UA"/>
        </w:rPr>
        <w:t>п</w:t>
      </w:r>
      <w:r>
        <w:rPr>
          <w:color w:val="000000"/>
          <w:shd w:val="clear" w:color="auto" w:fill="FFFFFF"/>
        </w:rPr>
        <w:t>орядок залучення, розрахунку розміру і використання коштів пайової участі у розвитку інфраструктури населеного пункту встановлюють органи місцевого самоврядування</w:t>
      </w:r>
      <w:r>
        <w:rPr>
          <w:color w:val="000000"/>
          <w:shd w:val="clear" w:color="auto" w:fill="FFFFFF"/>
          <w:lang w:val="uk-UA"/>
        </w:rPr>
        <w:t>.</w:t>
      </w:r>
    </w:p>
    <w:p w14:paraId="0F4B06C5">
      <w:pPr>
        <w:jc w:val="both"/>
        <w:rPr>
          <w:lang w:val="uk-UA"/>
        </w:rPr>
      </w:pPr>
      <w:r>
        <w:rPr>
          <w:color w:val="000000"/>
          <w:shd w:val="clear" w:color="auto" w:fill="FFFFFF"/>
          <w:lang w:val="uk-UA"/>
        </w:rPr>
        <w:tab/>
      </w:r>
      <w:r>
        <w:rPr>
          <w:color w:val="000000"/>
          <w:shd w:val="clear" w:color="auto" w:fill="FFFFFF"/>
          <w:lang w:val="uk-UA"/>
        </w:rPr>
        <w:t>Після об</w:t>
      </w:r>
      <w:r>
        <w:rPr>
          <w:color w:val="000000"/>
          <w:shd w:val="clear" w:color="auto" w:fill="FFFFFF"/>
        </w:rPr>
        <w:t>’</w:t>
      </w:r>
      <w:r>
        <w:rPr>
          <w:color w:val="000000"/>
          <w:shd w:val="clear" w:color="auto" w:fill="FFFFFF"/>
          <w:lang w:val="uk-UA"/>
        </w:rPr>
        <w:t xml:space="preserve">єднання сільських рад в Широківську об’єднану територіальну громаду, на території Широківської громади відсутній такий порядок. </w:t>
      </w:r>
    </w:p>
    <w:p w14:paraId="51506230">
      <w:pPr>
        <w:jc w:val="both"/>
        <w:rPr>
          <w:lang w:val="uk-UA"/>
        </w:rPr>
      </w:pPr>
      <w:r>
        <w:rPr>
          <w:lang w:val="uk-UA"/>
        </w:rPr>
        <w:t xml:space="preserve">    </w:t>
      </w:r>
      <w:r>
        <w:rPr>
          <w:lang w:val="uk-UA"/>
        </w:rPr>
        <w:tab/>
      </w:r>
      <w:r>
        <w:rPr>
          <w:lang w:val="uk-UA"/>
        </w:rPr>
        <w:t xml:space="preserve">Суть проблеми полягає в необхідності прийняття положення, яке б передбачало узагальнюючий порядок та умови залучення, розрахунку розміру і величини пайової участі (внеску), контролю за її сплатою та використання коштів пайової участі замовників (інвесторів) у створенні і розвитку інфраструктури населених пунктів Широківської сільської ради.  </w:t>
      </w:r>
    </w:p>
    <w:p w14:paraId="25975015">
      <w:pPr>
        <w:jc w:val="both"/>
        <w:rPr>
          <w:lang w:val="uk-UA"/>
        </w:rPr>
      </w:pPr>
      <w:r>
        <w:rPr>
          <w:lang w:val="uk-UA"/>
        </w:rPr>
        <w:t xml:space="preserve">    </w:t>
      </w:r>
      <w:r>
        <w:rPr>
          <w:lang w:val="uk-UA"/>
        </w:rPr>
        <w:tab/>
      </w:r>
      <w:r>
        <w:rPr>
          <w:lang w:val="uk-UA"/>
        </w:rPr>
        <w:t>Основні групи (підгрупи), на які проблема справляє вплив:</w:t>
      </w:r>
    </w:p>
    <w:p w14:paraId="2EB2A454">
      <w:pPr>
        <w:jc w:val="both"/>
        <w:rPr>
          <w:lang w:val="uk-UA"/>
        </w:rPr>
      </w:pPr>
    </w:p>
    <w:tbl>
      <w:tblPr>
        <w:tblStyle w:val="3"/>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5"/>
        <w:gridCol w:w="3035"/>
        <w:gridCol w:w="1260"/>
      </w:tblGrid>
      <w:tr w14:paraId="0362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tcPr>
          <w:p w14:paraId="4B7EBA81">
            <w:pPr>
              <w:jc w:val="center"/>
              <w:rPr>
                <w:lang w:val="uk-UA"/>
              </w:rPr>
            </w:pPr>
            <w:r>
              <w:rPr>
                <w:lang w:val="uk-UA"/>
              </w:rPr>
              <w:t>Групи (підгрупи)</w:t>
            </w:r>
          </w:p>
        </w:tc>
        <w:tc>
          <w:tcPr>
            <w:tcW w:w="3035" w:type="dxa"/>
          </w:tcPr>
          <w:p w14:paraId="49237A0E">
            <w:pPr>
              <w:jc w:val="center"/>
              <w:rPr>
                <w:lang w:val="uk-UA"/>
              </w:rPr>
            </w:pPr>
            <w:r>
              <w:rPr>
                <w:lang w:val="uk-UA"/>
              </w:rPr>
              <w:t>Так</w:t>
            </w:r>
          </w:p>
        </w:tc>
        <w:tc>
          <w:tcPr>
            <w:tcW w:w="1260" w:type="dxa"/>
          </w:tcPr>
          <w:p w14:paraId="6A7C0444">
            <w:pPr>
              <w:jc w:val="center"/>
              <w:rPr>
                <w:lang w:val="uk-UA"/>
              </w:rPr>
            </w:pPr>
            <w:r>
              <w:rPr>
                <w:lang w:val="uk-UA"/>
              </w:rPr>
              <w:t>Ні</w:t>
            </w:r>
          </w:p>
        </w:tc>
      </w:tr>
      <w:tr w14:paraId="1A87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tcPr>
          <w:p w14:paraId="7A575ABE">
            <w:pPr>
              <w:jc w:val="both"/>
              <w:rPr>
                <w:lang w:val="uk-UA"/>
              </w:rPr>
            </w:pPr>
            <w:r>
              <w:rPr>
                <w:lang w:val="uk-UA"/>
              </w:rPr>
              <w:t>Громадяни</w:t>
            </w:r>
          </w:p>
        </w:tc>
        <w:tc>
          <w:tcPr>
            <w:tcW w:w="3035" w:type="dxa"/>
          </w:tcPr>
          <w:p w14:paraId="7EAD46DE">
            <w:pPr>
              <w:rPr>
                <w:lang w:val="uk-UA"/>
              </w:rPr>
            </w:pPr>
            <w:r>
              <w:rPr>
                <w:lang w:val="uk-UA"/>
              </w:rPr>
              <w:t>Так, оскільки фізичні особи (громадяни) можуть бути замовниками будівництва</w:t>
            </w:r>
          </w:p>
        </w:tc>
        <w:tc>
          <w:tcPr>
            <w:tcW w:w="1260" w:type="dxa"/>
          </w:tcPr>
          <w:p w14:paraId="1B2D40D0">
            <w:pPr>
              <w:jc w:val="center"/>
              <w:rPr>
                <w:lang w:val="uk-UA"/>
              </w:rPr>
            </w:pPr>
            <w:r>
              <w:rPr>
                <w:lang w:val="uk-UA"/>
              </w:rPr>
              <w:t>–</w:t>
            </w:r>
          </w:p>
        </w:tc>
      </w:tr>
      <w:tr w14:paraId="2333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tcPr>
          <w:p w14:paraId="64C5D38D">
            <w:pPr>
              <w:jc w:val="both"/>
              <w:rPr>
                <w:lang w:val="uk-UA"/>
              </w:rPr>
            </w:pPr>
            <w:r>
              <w:rPr>
                <w:lang w:val="uk-UA"/>
              </w:rPr>
              <w:t>Держава (територіальна громада)</w:t>
            </w:r>
          </w:p>
        </w:tc>
        <w:tc>
          <w:tcPr>
            <w:tcW w:w="3035" w:type="dxa"/>
          </w:tcPr>
          <w:p w14:paraId="6E80E05F">
            <w:pPr>
              <w:jc w:val="center"/>
              <w:rPr>
                <w:lang w:val="uk-UA"/>
              </w:rPr>
            </w:pPr>
            <w:r>
              <w:rPr>
                <w:lang w:val="uk-UA"/>
              </w:rPr>
              <w:t>Так</w:t>
            </w:r>
          </w:p>
        </w:tc>
        <w:tc>
          <w:tcPr>
            <w:tcW w:w="1260" w:type="dxa"/>
          </w:tcPr>
          <w:p w14:paraId="0D21D18D">
            <w:pPr>
              <w:jc w:val="center"/>
              <w:rPr>
                <w:lang w:val="uk-UA"/>
              </w:rPr>
            </w:pPr>
            <w:r>
              <w:rPr>
                <w:lang w:val="uk-UA"/>
              </w:rPr>
              <w:t>–</w:t>
            </w:r>
          </w:p>
        </w:tc>
      </w:tr>
      <w:tr w14:paraId="37F5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tcPr>
          <w:p w14:paraId="53FDE4C3">
            <w:pPr>
              <w:jc w:val="both"/>
              <w:rPr>
                <w:lang w:val="uk-UA"/>
              </w:rPr>
            </w:pPr>
            <w:r>
              <w:rPr>
                <w:lang w:val="uk-UA"/>
              </w:rPr>
              <w:t xml:space="preserve">Суб’єктами господарювання  </w:t>
            </w:r>
          </w:p>
        </w:tc>
        <w:tc>
          <w:tcPr>
            <w:tcW w:w="3035" w:type="dxa"/>
          </w:tcPr>
          <w:p w14:paraId="188D9229">
            <w:pPr>
              <w:rPr>
                <w:lang w:val="uk-UA"/>
              </w:rPr>
            </w:pPr>
            <w:r>
              <w:rPr>
                <w:lang w:val="uk-UA"/>
              </w:rPr>
              <w:t>Так, оскільки суб’єкти господарювання можуть бути замовниками будівництва</w:t>
            </w:r>
          </w:p>
        </w:tc>
        <w:tc>
          <w:tcPr>
            <w:tcW w:w="1260" w:type="dxa"/>
          </w:tcPr>
          <w:p w14:paraId="583CF63A">
            <w:pPr>
              <w:jc w:val="center"/>
              <w:rPr>
                <w:lang w:val="uk-UA"/>
              </w:rPr>
            </w:pPr>
            <w:r>
              <w:rPr>
                <w:lang w:val="uk-UA"/>
              </w:rPr>
              <w:t>–</w:t>
            </w:r>
          </w:p>
        </w:tc>
      </w:tr>
      <w:tr w14:paraId="41AE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45" w:type="dxa"/>
          </w:tcPr>
          <w:p w14:paraId="5712EDA9">
            <w:pPr>
              <w:jc w:val="both"/>
              <w:rPr>
                <w:lang w:val="uk-UA"/>
              </w:rPr>
            </w:pPr>
            <w:r>
              <w:rPr>
                <w:lang w:val="uk-UA"/>
              </w:rPr>
              <w:t>у тому числі суб’єктами малого підприємництва</w:t>
            </w:r>
          </w:p>
        </w:tc>
        <w:tc>
          <w:tcPr>
            <w:tcW w:w="3035" w:type="dxa"/>
          </w:tcPr>
          <w:p w14:paraId="43CC3EC0">
            <w:pPr>
              <w:rPr>
                <w:lang w:val="uk-UA"/>
              </w:rPr>
            </w:pPr>
            <w:r>
              <w:rPr>
                <w:lang w:val="uk-UA"/>
              </w:rPr>
              <w:t>Так, оскільки суб’єкти малого підприємництва можуть бути замовниками будівництва</w:t>
            </w:r>
          </w:p>
        </w:tc>
        <w:tc>
          <w:tcPr>
            <w:tcW w:w="1260" w:type="dxa"/>
          </w:tcPr>
          <w:p w14:paraId="2E26D69A">
            <w:pPr>
              <w:jc w:val="center"/>
              <w:rPr>
                <w:lang w:val="uk-UA"/>
              </w:rPr>
            </w:pPr>
            <w:r>
              <w:rPr>
                <w:lang w:val="uk-UA"/>
              </w:rPr>
              <w:t>–</w:t>
            </w:r>
          </w:p>
        </w:tc>
      </w:tr>
    </w:tbl>
    <w:p w14:paraId="480C7986">
      <w:pPr>
        <w:jc w:val="both"/>
        <w:rPr>
          <w:lang w:val="uk-UA"/>
        </w:rPr>
      </w:pPr>
      <w:r>
        <w:rPr>
          <w:lang w:val="uk-UA"/>
        </w:rPr>
        <w:t xml:space="preserve">    </w:t>
      </w:r>
      <w:r>
        <w:rPr>
          <w:lang w:val="uk-UA"/>
        </w:rPr>
        <w:tab/>
      </w:r>
      <w:r>
        <w:rPr>
          <w:lang w:val="uk-UA"/>
        </w:rPr>
        <w:t>Зазначена проблема не може бути вирішена за допомогою ринкових механізмів, оскільки частиною першою статті 40 Закону визначено, що порядок залучення, розрахунку розміру і використання коштів пайової участі у розвитку інфраструктури населеного пункту встановлюють органи місцевого самоврядування відповідно до цього Закону.</w:t>
      </w:r>
    </w:p>
    <w:p w14:paraId="149DF5A8">
      <w:pPr>
        <w:jc w:val="both"/>
        <w:rPr>
          <w:lang w:val="uk-UA"/>
        </w:rPr>
      </w:pPr>
    </w:p>
    <w:p w14:paraId="08A4CFB0">
      <w:pPr>
        <w:widowControl w:val="0"/>
        <w:jc w:val="both"/>
        <w:rPr>
          <w:b/>
          <w:color w:val="000000"/>
          <w:lang w:val="uk-UA"/>
        </w:rPr>
      </w:pPr>
      <w:r>
        <w:rPr>
          <w:b/>
          <w:color w:val="000000"/>
          <w:lang w:val="uk-UA"/>
        </w:rPr>
        <w:t>2. Цілі регулювання.</w:t>
      </w:r>
    </w:p>
    <w:p w14:paraId="01702EEB">
      <w:pPr>
        <w:jc w:val="both"/>
        <w:rPr>
          <w:lang w:val="uk-UA"/>
        </w:rPr>
      </w:pPr>
      <w:r>
        <w:rPr>
          <w:lang w:val="uk-UA"/>
        </w:rPr>
        <w:t xml:space="preserve">     Метою цього регуляторного акта є:</w:t>
      </w:r>
    </w:p>
    <w:p w14:paraId="7DCA29F3">
      <w:pPr>
        <w:jc w:val="both"/>
        <w:rPr>
          <w:lang w:val="uk-UA"/>
        </w:rPr>
      </w:pPr>
      <w:r>
        <w:rPr>
          <w:lang w:val="uk-UA"/>
        </w:rPr>
        <w:t xml:space="preserve">     - реалізація повноважень органів місцевого самоврядування;</w:t>
      </w:r>
    </w:p>
    <w:p w14:paraId="7C2BF4B1">
      <w:pPr>
        <w:jc w:val="both"/>
        <w:rPr>
          <w:lang w:val="uk-UA"/>
        </w:rPr>
      </w:pPr>
      <w:r>
        <w:rPr>
          <w:lang w:val="uk-UA"/>
        </w:rPr>
        <w:t xml:space="preserve">     - удосконалення відносин між органами місцевого самоврядування та замовниками (інвесторами) будівництва об’єктів на території міста (суб’єктами господарювання та громадянами);</w:t>
      </w:r>
    </w:p>
    <w:p w14:paraId="36D39655">
      <w:pPr>
        <w:jc w:val="both"/>
        <w:rPr>
          <w:lang w:val="uk-UA"/>
        </w:rPr>
      </w:pPr>
      <w:r>
        <w:rPr>
          <w:lang w:val="uk-UA"/>
        </w:rPr>
        <w:t xml:space="preserve">     - встановлення прозорого і чітко врегульованого порядку та умов залучення, розрахунку розміру і величини пайової участі (внеску) замовників (інвесторів) у створенні і розвитку інженерно-транспортної та соціальної інфраструктури міста, а також здійснення контролю за її сплатою;</w:t>
      </w:r>
    </w:p>
    <w:p w14:paraId="5CEDB1A7">
      <w:pPr>
        <w:pStyle w:val="8"/>
        <w:tabs>
          <w:tab w:val="left" w:pos="-2520"/>
          <w:tab w:val="clear" w:pos="916"/>
          <w:tab w:val="clear" w:pos="1832"/>
          <w:tab w:val="clear" w:pos="2748"/>
          <w:tab w:val="clear" w:pos="3664"/>
          <w:tab w:val="clear" w:pos="4580"/>
          <w:tab w:val="clear" w:pos="5496"/>
          <w:tab w:val="clear" w:pos="6412"/>
          <w:tab w:val="clear" w:pos="7328"/>
          <w:tab w:val="clear" w:pos="8244"/>
          <w:tab w:val="clear" w:pos="9160"/>
          <w:tab w:val="clear" w:pos="10076"/>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 визначення чіткого переліку об’єктів у разі будівництва яких замовники (інвестори) не залучаються до пайової участі (внеску) у створенні і розвитку інженерно-транспортної та соціальної інфраструктури міста; </w:t>
      </w:r>
    </w:p>
    <w:p w14:paraId="41F0959B">
      <w:pPr>
        <w:jc w:val="both"/>
        <w:rPr>
          <w:lang w:val="uk-UA"/>
        </w:rPr>
      </w:pPr>
      <w:r>
        <w:rPr>
          <w:lang w:val="uk-UA"/>
        </w:rPr>
        <w:t xml:space="preserve">     - встановлення порядку та умов укладення договору про пайову участь (внесок) замовників (інвесторів) у створенні і розвитку інженерно-транспортної та соціальної інфраструктури міста;</w:t>
      </w:r>
    </w:p>
    <w:p w14:paraId="2B09819F">
      <w:pPr>
        <w:jc w:val="both"/>
        <w:rPr>
          <w:lang w:val="uk-UA"/>
        </w:rPr>
      </w:pPr>
      <w:r>
        <w:rPr>
          <w:lang w:val="uk-UA"/>
        </w:rPr>
        <w:t xml:space="preserve">     - визначення умов зменшення розміру пайової участі (внеску) замовників (інвесторів) у створенні і розвитку інженерно-транспортної та соціальної інфраструктури міста;</w:t>
      </w:r>
    </w:p>
    <w:p w14:paraId="34C48ED6">
      <w:pPr>
        <w:jc w:val="both"/>
        <w:rPr>
          <w:lang w:val="uk-UA"/>
        </w:rPr>
      </w:pPr>
      <w:r>
        <w:rPr>
          <w:lang w:val="uk-UA"/>
        </w:rPr>
        <w:t xml:space="preserve">     - забезпечення збільшення надходжень коштів до міського бюджету для фінансування розвитку інженерно-транспортної та соціальної інфраструктури міста.</w:t>
      </w:r>
    </w:p>
    <w:p w14:paraId="1FD5401D">
      <w:pPr>
        <w:jc w:val="both"/>
        <w:rPr>
          <w:lang w:val="uk-UA"/>
        </w:rPr>
      </w:pPr>
    </w:p>
    <w:p w14:paraId="257D8227">
      <w:pPr>
        <w:rPr>
          <w:b/>
          <w:color w:val="000000"/>
          <w:lang w:val="uk-UA"/>
        </w:rPr>
      </w:pPr>
      <w:r>
        <w:rPr>
          <w:b/>
          <w:color w:val="000000"/>
          <w:lang w:val="uk-UA"/>
        </w:rPr>
        <w:t xml:space="preserve">     3. Визначення та оцінка альтернативних способів досягнення цілей.</w:t>
      </w:r>
    </w:p>
    <w:p w14:paraId="2F6A453D">
      <w:pPr>
        <w:widowControl w:val="0"/>
        <w:jc w:val="both"/>
        <w:rPr>
          <w:lang w:val="uk-UA"/>
        </w:rPr>
      </w:pPr>
      <w:r>
        <w:rPr>
          <w:lang w:val="uk-UA"/>
        </w:rPr>
        <w:t xml:space="preserve">     1. Визначення альтернативних способів</w:t>
      </w:r>
    </w:p>
    <w:p w14:paraId="561B24C2">
      <w:pPr>
        <w:widowControl w:val="0"/>
        <w:jc w:val="both"/>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6840"/>
      </w:tblGrid>
      <w:tr w14:paraId="150F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15D35E69">
            <w:pPr>
              <w:widowControl w:val="0"/>
              <w:jc w:val="both"/>
              <w:rPr>
                <w:lang w:val="uk-UA"/>
              </w:rPr>
            </w:pPr>
            <w:r>
              <w:rPr>
                <w:lang w:val="uk-UA"/>
              </w:rPr>
              <w:t>Вид альтернативи</w:t>
            </w:r>
          </w:p>
        </w:tc>
        <w:tc>
          <w:tcPr>
            <w:tcW w:w="6840" w:type="dxa"/>
          </w:tcPr>
          <w:p w14:paraId="2A871456">
            <w:pPr>
              <w:widowControl w:val="0"/>
              <w:jc w:val="both"/>
              <w:rPr>
                <w:lang w:val="uk-UA"/>
              </w:rPr>
            </w:pPr>
            <w:r>
              <w:rPr>
                <w:lang w:val="uk-UA"/>
              </w:rPr>
              <w:t>Опис альтернативи</w:t>
            </w:r>
          </w:p>
        </w:tc>
      </w:tr>
      <w:tr w14:paraId="4DC9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6B790F3E">
            <w:pPr>
              <w:rPr>
                <w:color w:val="000000"/>
                <w:lang w:val="uk-UA"/>
              </w:rPr>
            </w:pPr>
            <w:r>
              <w:rPr>
                <w:bCs/>
                <w:color w:val="000000"/>
                <w:lang w:val="uk-UA"/>
              </w:rPr>
              <w:t>Альтернатива 1.</w:t>
            </w:r>
            <w:r>
              <w:rPr>
                <w:color w:val="000000"/>
                <w:lang w:val="uk-UA"/>
              </w:rPr>
              <w:t xml:space="preserve"> </w:t>
            </w:r>
          </w:p>
          <w:p w14:paraId="378556A1">
            <w:pPr>
              <w:widowControl w:val="0"/>
              <w:jc w:val="both"/>
              <w:rPr>
                <w:color w:val="FF0000"/>
                <w:lang w:val="uk-UA"/>
              </w:rPr>
            </w:pPr>
          </w:p>
        </w:tc>
        <w:tc>
          <w:tcPr>
            <w:tcW w:w="6840" w:type="dxa"/>
          </w:tcPr>
          <w:p w14:paraId="1EE2E983">
            <w:pPr>
              <w:widowControl w:val="0"/>
              <w:jc w:val="both"/>
              <w:rPr>
                <w:lang w:val="uk-UA"/>
              </w:rPr>
            </w:pPr>
            <w:r>
              <w:rPr>
                <w:color w:val="000000"/>
              </w:rPr>
              <w:t xml:space="preserve">Неприйняття регуляторного акта </w:t>
            </w:r>
            <w:r>
              <w:rPr>
                <w:color w:val="000000"/>
                <w:lang w:val="uk-UA"/>
              </w:rPr>
              <w:t xml:space="preserve">(відмова від регулювання) </w:t>
            </w:r>
            <w:r>
              <w:rPr>
                <w:lang w:val="uk-UA"/>
              </w:rPr>
              <w:t xml:space="preserve">не забезпечує досягнення </w:t>
            </w:r>
            <w:r>
              <w:rPr>
                <w:snapToGrid w:val="0"/>
                <w:lang w:val="uk-UA"/>
              </w:rPr>
              <w:t>цілей правового регулювання</w:t>
            </w:r>
            <w:r>
              <w:rPr>
                <w:lang w:val="uk-UA"/>
              </w:rPr>
              <w:t xml:space="preserve"> у зв’язку з відсутністю регуляторного акту в цій сфері.</w:t>
            </w:r>
          </w:p>
          <w:p w14:paraId="6630347E">
            <w:pPr>
              <w:rPr>
                <w:color w:val="FF0000"/>
                <w:lang w:val="uk-UA"/>
              </w:rPr>
            </w:pPr>
          </w:p>
        </w:tc>
      </w:tr>
      <w:tr w14:paraId="3A67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067C635A">
            <w:pPr>
              <w:widowControl w:val="0"/>
              <w:rPr>
                <w:lang w:val="uk-UA"/>
              </w:rPr>
            </w:pPr>
            <w:r>
              <w:rPr>
                <w:bCs/>
                <w:color w:val="000000"/>
                <w:lang w:val="uk-UA"/>
              </w:rPr>
              <w:t>Альтернатива 2.</w:t>
            </w:r>
            <w:r>
              <w:rPr>
                <w:color w:val="000000"/>
                <w:lang w:val="uk-UA"/>
              </w:rPr>
              <w:t xml:space="preserve"> </w:t>
            </w:r>
          </w:p>
        </w:tc>
        <w:tc>
          <w:tcPr>
            <w:tcW w:w="6840" w:type="dxa"/>
          </w:tcPr>
          <w:p w14:paraId="7F21E65A">
            <w:pPr>
              <w:jc w:val="both"/>
              <w:rPr>
                <w:lang w:val="uk-UA"/>
              </w:rPr>
            </w:pPr>
            <w:r>
              <w:rPr>
                <w:lang w:val="uk-UA"/>
              </w:rPr>
              <w:t xml:space="preserve">Прийняття проекту акта  забезпечує досягнення </w:t>
            </w:r>
            <w:r>
              <w:rPr>
                <w:snapToGrid w:val="0"/>
                <w:lang w:val="uk-UA"/>
              </w:rPr>
              <w:t xml:space="preserve">цілей правового регулювання щодо приведення </w:t>
            </w:r>
            <w:r>
              <w:rPr>
                <w:lang w:val="uk-UA"/>
              </w:rPr>
              <w:t>порядку залучення, розрахунку розміру і використання коштів пайової участі у розвитку інфраструктури населених пунктів у відповідність до вимог чинного законодавства України;</w:t>
            </w:r>
          </w:p>
          <w:p w14:paraId="0FA6174C">
            <w:pPr>
              <w:jc w:val="both"/>
              <w:rPr>
                <w:lang w:val="uk-UA"/>
              </w:rPr>
            </w:pPr>
            <w:r>
              <w:rPr>
                <w:lang w:val="uk-UA"/>
              </w:rPr>
              <w:t>повністю відповідає потребам у вирішенні проблеми.</w:t>
            </w:r>
          </w:p>
          <w:p w14:paraId="7A5EEFFD">
            <w:pPr>
              <w:rPr>
                <w:lang w:val="uk-UA"/>
              </w:rPr>
            </w:pPr>
          </w:p>
        </w:tc>
      </w:tr>
    </w:tbl>
    <w:p w14:paraId="07DFD9E4">
      <w:pPr>
        <w:widowControl w:val="0"/>
        <w:jc w:val="both"/>
        <w:rPr>
          <w:lang w:val="uk-UA"/>
        </w:rPr>
      </w:pPr>
    </w:p>
    <w:p w14:paraId="0E524FF1">
      <w:pPr>
        <w:widowControl w:val="0"/>
        <w:jc w:val="both"/>
        <w:rPr>
          <w:lang w:val="uk-UA"/>
        </w:rPr>
      </w:pPr>
      <w:r>
        <w:rPr>
          <w:lang w:val="uk-UA"/>
        </w:rPr>
        <w:t xml:space="preserve">     2. Оцінка вибраних альтернативних способів досягнення цілей</w:t>
      </w:r>
    </w:p>
    <w:p w14:paraId="37E4FAF5">
      <w:pPr>
        <w:widowControl w:val="0"/>
        <w:jc w:val="both"/>
        <w:rPr>
          <w:lang w:val="uk-UA"/>
        </w:rPr>
      </w:pPr>
    </w:p>
    <w:p w14:paraId="2EDBE375">
      <w:pPr>
        <w:widowControl w:val="0"/>
        <w:jc w:val="both"/>
        <w:rPr>
          <w:lang w:val="uk-UA"/>
        </w:rPr>
      </w:pPr>
      <w:r>
        <w:rPr>
          <w:lang w:val="uk-UA"/>
        </w:rPr>
        <w:t xml:space="preserve">     Оцінка впливу на сферу інтересів держави (територіальної громади)</w:t>
      </w:r>
    </w:p>
    <w:p w14:paraId="0178FD4D">
      <w:pPr>
        <w:widowControl w:val="0"/>
        <w:jc w:val="both"/>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4860"/>
        <w:gridCol w:w="2340"/>
      </w:tblGrid>
      <w:tr w14:paraId="6C3A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285A8CB9">
            <w:pPr>
              <w:rPr>
                <w:lang w:val="uk-UA"/>
              </w:rPr>
            </w:pPr>
            <w:r>
              <w:rPr>
                <w:lang w:val="uk-UA"/>
              </w:rPr>
              <w:t xml:space="preserve">Вид альтернативи </w:t>
            </w:r>
          </w:p>
        </w:tc>
        <w:tc>
          <w:tcPr>
            <w:tcW w:w="4860" w:type="dxa"/>
          </w:tcPr>
          <w:p w14:paraId="65383CED">
            <w:pPr>
              <w:rPr>
                <w:lang w:val="uk-UA"/>
              </w:rPr>
            </w:pPr>
            <w:r>
              <w:rPr>
                <w:lang w:val="uk-UA"/>
              </w:rPr>
              <w:t>Вигоди</w:t>
            </w:r>
          </w:p>
        </w:tc>
        <w:tc>
          <w:tcPr>
            <w:tcW w:w="2340" w:type="dxa"/>
          </w:tcPr>
          <w:p w14:paraId="2AA6BF9F">
            <w:pPr>
              <w:rPr>
                <w:lang w:val="uk-UA"/>
              </w:rPr>
            </w:pPr>
            <w:r>
              <w:rPr>
                <w:lang w:val="uk-UA"/>
              </w:rPr>
              <w:t>Витрати</w:t>
            </w:r>
          </w:p>
        </w:tc>
      </w:tr>
      <w:tr w14:paraId="30289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5D14787E">
            <w:pPr>
              <w:rPr>
                <w:lang w:val="uk-UA"/>
              </w:rPr>
            </w:pPr>
            <w:r>
              <w:rPr>
                <w:bCs/>
                <w:color w:val="000000"/>
                <w:lang w:val="uk-UA"/>
              </w:rPr>
              <w:t>Альтернатива 1.</w:t>
            </w:r>
            <w:r>
              <w:rPr>
                <w:color w:val="000000"/>
                <w:lang w:val="uk-UA"/>
              </w:rPr>
              <w:t xml:space="preserve"> </w:t>
            </w:r>
          </w:p>
        </w:tc>
        <w:tc>
          <w:tcPr>
            <w:tcW w:w="4860" w:type="dxa"/>
          </w:tcPr>
          <w:p w14:paraId="1B232A78">
            <w:pPr>
              <w:rPr>
                <w:lang w:val="uk-UA"/>
              </w:rPr>
            </w:pPr>
            <w:r>
              <w:rPr>
                <w:lang w:val="uk-UA"/>
              </w:rPr>
              <w:t>Відсутні</w:t>
            </w:r>
          </w:p>
        </w:tc>
        <w:tc>
          <w:tcPr>
            <w:tcW w:w="2340" w:type="dxa"/>
          </w:tcPr>
          <w:p w14:paraId="53388D50">
            <w:pPr>
              <w:widowControl w:val="0"/>
              <w:rPr>
                <w:lang w:val="uk-UA"/>
              </w:rPr>
            </w:pPr>
            <w:r>
              <w:rPr>
                <w:lang w:val="uk-UA"/>
              </w:rPr>
              <w:t>Відсутні</w:t>
            </w:r>
          </w:p>
        </w:tc>
      </w:tr>
      <w:tr w14:paraId="4B6F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18D5738D">
            <w:pPr>
              <w:rPr>
                <w:lang w:val="uk-UA"/>
              </w:rPr>
            </w:pPr>
            <w:r>
              <w:rPr>
                <w:bCs/>
                <w:color w:val="000000"/>
                <w:lang w:val="uk-UA"/>
              </w:rPr>
              <w:t>Альтернатива 2.</w:t>
            </w:r>
            <w:r>
              <w:rPr>
                <w:color w:val="000000"/>
                <w:lang w:val="uk-UA"/>
              </w:rPr>
              <w:t xml:space="preserve"> </w:t>
            </w:r>
          </w:p>
        </w:tc>
        <w:tc>
          <w:tcPr>
            <w:tcW w:w="4860" w:type="dxa"/>
          </w:tcPr>
          <w:p w14:paraId="01E28D14">
            <w:pPr>
              <w:rPr>
                <w:lang w:val="uk-UA"/>
              </w:rPr>
            </w:pPr>
            <w:r>
              <w:rPr>
                <w:lang w:val="uk-UA"/>
              </w:rPr>
              <w:t>Дотримання вимог чинного законодавства України;</w:t>
            </w:r>
          </w:p>
          <w:p w14:paraId="4F3CE6B3">
            <w:pPr>
              <w:rPr>
                <w:lang w:val="uk-UA"/>
              </w:rPr>
            </w:pPr>
            <w:r>
              <w:rPr>
                <w:lang w:val="uk-UA"/>
              </w:rPr>
              <w:t>залучення коштів замовників (інвесторів) будівництва об’єктів (суб’єктів господарювання та громадян) для реалізації заходів, спрямованих на створення і розвиток інженерно-транспортної та соціальної інфраструктури населених пунктів;</w:t>
            </w:r>
          </w:p>
          <w:p w14:paraId="5FF684AA">
            <w:pPr>
              <w:rPr>
                <w:lang w:val="uk-UA"/>
              </w:rPr>
            </w:pPr>
            <w:r>
              <w:rPr>
                <w:lang w:val="uk-UA"/>
              </w:rPr>
              <w:t xml:space="preserve">збільшення надходжень коштів до </w:t>
            </w:r>
            <w:r>
              <w:rPr>
                <w:bCs/>
                <w:iCs/>
                <w:lang w:val="uk-UA"/>
              </w:rPr>
              <w:t>цільового фонду</w:t>
            </w:r>
            <w:r>
              <w:rPr>
                <w:lang w:val="uk-UA"/>
              </w:rPr>
              <w:t xml:space="preserve"> розвитку інженерно-транспортної та соціальної інфраструктури населених пунктів;</w:t>
            </w:r>
          </w:p>
          <w:p w14:paraId="17FD70C2">
            <w:pPr>
              <w:rPr>
                <w:lang w:val="uk-UA"/>
              </w:rPr>
            </w:pPr>
            <w:r>
              <w:rPr>
                <w:lang w:val="uk-UA"/>
              </w:rPr>
              <w:t>залучення інвестицій в економіку та поліпшення його соціально-економічного становища.</w:t>
            </w:r>
          </w:p>
        </w:tc>
        <w:tc>
          <w:tcPr>
            <w:tcW w:w="2340" w:type="dxa"/>
          </w:tcPr>
          <w:p w14:paraId="45006BB8">
            <w:pPr>
              <w:rPr>
                <w:lang w:val="uk-UA"/>
              </w:rPr>
            </w:pPr>
            <w:r>
              <w:rPr>
                <w:lang w:val="uk-UA"/>
              </w:rPr>
              <w:t>Відсутні, оскільки реалізація акта не потребує додаткових матеріальних та інших витрат</w:t>
            </w:r>
          </w:p>
        </w:tc>
      </w:tr>
    </w:tbl>
    <w:p w14:paraId="38C43A6F">
      <w:pPr>
        <w:widowControl w:val="0"/>
        <w:jc w:val="both"/>
        <w:rPr>
          <w:lang w:val="uk-UA"/>
        </w:rPr>
      </w:pPr>
    </w:p>
    <w:p w14:paraId="50CD2691">
      <w:pPr>
        <w:widowControl w:val="0"/>
        <w:jc w:val="both"/>
        <w:rPr>
          <w:lang w:val="uk-UA"/>
        </w:rPr>
      </w:pPr>
      <w:r>
        <w:rPr>
          <w:lang w:val="uk-UA"/>
        </w:rPr>
        <w:t xml:space="preserve">     Оцінка впливу на сферу інтересів громадян</w:t>
      </w:r>
    </w:p>
    <w:p w14:paraId="5D972174">
      <w:pPr>
        <w:widowControl w:val="0"/>
        <w:jc w:val="both"/>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4320"/>
        <w:gridCol w:w="2520"/>
      </w:tblGrid>
      <w:tr w14:paraId="49AA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49174248">
            <w:pPr>
              <w:rPr>
                <w:lang w:val="uk-UA"/>
              </w:rPr>
            </w:pPr>
            <w:r>
              <w:rPr>
                <w:lang w:val="uk-UA"/>
              </w:rPr>
              <w:t xml:space="preserve">Вид альтернативи </w:t>
            </w:r>
          </w:p>
        </w:tc>
        <w:tc>
          <w:tcPr>
            <w:tcW w:w="4320" w:type="dxa"/>
          </w:tcPr>
          <w:p w14:paraId="424FD4C4">
            <w:pPr>
              <w:rPr>
                <w:lang w:val="uk-UA"/>
              </w:rPr>
            </w:pPr>
            <w:r>
              <w:rPr>
                <w:lang w:val="uk-UA"/>
              </w:rPr>
              <w:t>Вигоди</w:t>
            </w:r>
          </w:p>
        </w:tc>
        <w:tc>
          <w:tcPr>
            <w:tcW w:w="2520" w:type="dxa"/>
          </w:tcPr>
          <w:p w14:paraId="6E57BDE3">
            <w:pPr>
              <w:rPr>
                <w:lang w:val="uk-UA"/>
              </w:rPr>
            </w:pPr>
            <w:r>
              <w:rPr>
                <w:lang w:val="uk-UA"/>
              </w:rPr>
              <w:t>Витрати</w:t>
            </w:r>
          </w:p>
        </w:tc>
      </w:tr>
      <w:tr w14:paraId="78EC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0108EFDD">
            <w:pPr>
              <w:rPr>
                <w:color w:val="000000"/>
                <w:lang w:val="uk-UA"/>
              </w:rPr>
            </w:pPr>
            <w:r>
              <w:rPr>
                <w:bCs/>
                <w:color w:val="000000"/>
                <w:lang w:val="uk-UA"/>
              </w:rPr>
              <w:t>Альтернатива 1.</w:t>
            </w:r>
            <w:r>
              <w:rPr>
                <w:color w:val="000000"/>
                <w:lang w:val="uk-UA"/>
              </w:rPr>
              <w:t xml:space="preserve"> </w:t>
            </w:r>
          </w:p>
          <w:p w14:paraId="25791207">
            <w:pPr>
              <w:rPr>
                <w:lang w:val="uk-UA"/>
              </w:rPr>
            </w:pPr>
          </w:p>
        </w:tc>
        <w:tc>
          <w:tcPr>
            <w:tcW w:w="4320" w:type="dxa"/>
          </w:tcPr>
          <w:p w14:paraId="1564FE34">
            <w:pPr>
              <w:rPr>
                <w:lang w:val="uk-UA"/>
              </w:rPr>
            </w:pPr>
            <w:r>
              <w:rPr>
                <w:lang w:val="uk-UA"/>
              </w:rPr>
              <w:t>Відсутні</w:t>
            </w:r>
          </w:p>
        </w:tc>
        <w:tc>
          <w:tcPr>
            <w:tcW w:w="2520" w:type="dxa"/>
          </w:tcPr>
          <w:p w14:paraId="3726D8F4">
            <w:pPr>
              <w:rPr>
                <w:lang w:val="uk-UA"/>
              </w:rPr>
            </w:pPr>
            <w:r>
              <w:rPr>
                <w:lang w:val="uk-UA"/>
              </w:rPr>
              <w:t>відсутні</w:t>
            </w:r>
          </w:p>
        </w:tc>
      </w:tr>
      <w:tr w14:paraId="2117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4A1BF977">
            <w:pPr>
              <w:rPr>
                <w:lang w:val="uk-UA"/>
              </w:rPr>
            </w:pPr>
            <w:r>
              <w:rPr>
                <w:bCs/>
                <w:color w:val="000000"/>
                <w:lang w:val="uk-UA"/>
              </w:rPr>
              <w:t>Альтернатива 2.</w:t>
            </w:r>
            <w:r>
              <w:rPr>
                <w:color w:val="000000"/>
                <w:lang w:val="uk-UA"/>
              </w:rPr>
              <w:t xml:space="preserve"> </w:t>
            </w:r>
          </w:p>
        </w:tc>
        <w:tc>
          <w:tcPr>
            <w:tcW w:w="4320" w:type="dxa"/>
          </w:tcPr>
          <w:p w14:paraId="30AD38FF">
            <w:pPr>
              <w:rPr>
                <w:lang w:val="uk-UA"/>
              </w:rPr>
            </w:pPr>
            <w:r>
              <w:rPr>
                <w:lang w:val="uk-UA"/>
              </w:rPr>
              <w:t>Удосконалення взаємовідносин з органами місцевого самоврядування щодо залучення коштів замовників (інвесторів) будівництва об’єктів на території населених пунктів громади у створенні і розвитку інфраструктури населених пунктів;</w:t>
            </w:r>
          </w:p>
          <w:p w14:paraId="225B931D">
            <w:pPr>
              <w:rPr>
                <w:lang w:val="uk-UA"/>
              </w:rPr>
            </w:pPr>
            <w:r>
              <w:rPr>
                <w:lang w:val="uk-UA"/>
              </w:rPr>
              <w:t>залучення коштів замовників (інвесторів) будівництва об’єктів (суб’єктів господарювання та громадян) для реалізації заходів, спрямованих на створення і розвиток інженерно-транспортної та соціальної інфраструктури; покращення інженерно-транспортної та соціальної інфраструктури.</w:t>
            </w:r>
          </w:p>
        </w:tc>
        <w:tc>
          <w:tcPr>
            <w:tcW w:w="2520" w:type="dxa"/>
          </w:tcPr>
          <w:p w14:paraId="08C29BED">
            <w:pPr>
              <w:rPr>
                <w:lang w:val="uk-UA"/>
              </w:rPr>
            </w:pPr>
            <w:r>
              <w:rPr>
                <w:lang w:val="uk-UA"/>
              </w:rPr>
              <w:t xml:space="preserve">Сплата пайового внеску в разі здійснення будівництва об’єктів у випадках, передбачених проектом акта </w:t>
            </w:r>
          </w:p>
        </w:tc>
      </w:tr>
    </w:tbl>
    <w:p w14:paraId="0A253BA0">
      <w:pPr>
        <w:pStyle w:val="14"/>
        <w:ind w:left="0"/>
        <w:jc w:val="both"/>
        <w:rPr>
          <w:color w:val="000000" w:themeColor="text1"/>
          <w:lang w:val="uk-UA"/>
        </w:rPr>
      </w:pPr>
    </w:p>
    <w:p w14:paraId="77313137">
      <w:pPr>
        <w:widowControl w:val="0"/>
        <w:rPr>
          <w:lang w:val="uk-UA"/>
        </w:rPr>
      </w:pPr>
    </w:p>
    <w:p w14:paraId="4C9812FC">
      <w:pPr>
        <w:widowControl w:val="0"/>
        <w:rPr>
          <w:lang w:val="uk-UA"/>
        </w:rPr>
      </w:pPr>
    </w:p>
    <w:p w14:paraId="561B8E35">
      <w:pPr>
        <w:widowControl w:val="0"/>
        <w:rPr>
          <w:lang w:val="uk-UA"/>
        </w:rPr>
      </w:pPr>
    </w:p>
    <w:p w14:paraId="00DF098A">
      <w:pPr>
        <w:widowControl w:val="0"/>
        <w:rPr>
          <w:lang w:val="uk-UA"/>
        </w:rPr>
      </w:pPr>
      <w:r>
        <w:rPr>
          <w:lang w:val="uk-UA"/>
        </w:rPr>
        <w:t>Оцінка впливу на сферу інтересів суб’єктів господарювання</w:t>
      </w:r>
    </w:p>
    <w:p w14:paraId="596CB432">
      <w:pPr>
        <w:widowControl w:val="0"/>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2"/>
        <w:gridCol w:w="1563"/>
        <w:gridCol w:w="1563"/>
        <w:gridCol w:w="1563"/>
        <w:gridCol w:w="1563"/>
        <w:gridCol w:w="1136"/>
      </w:tblGrid>
      <w:tr w14:paraId="07DE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2" w:type="dxa"/>
          </w:tcPr>
          <w:p w14:paraId="041F3625">
            <w:pPr>
              <w:widowControl w:val="0"/>
              <w:jc w:val="center"/>
              <w:rPr>
                <w:snapToGrid w:val="0"/>
                <w:lang w:val="uk-UA"/>
              </w:rPr>
            </w:pPr>
            <w:r>
              <w:rPr>
                <w:snapToGrid w:val="0"/>
                <w:lang w:val="uk-UA"/>
              </w:rPr>
              <w:t>Показник</w:t>
            </w:r>
          </w:p>
        </w:tc>
        <w:tc>
          <w:tcPr>
            <w:tcW w:w="1563" w:type="dxa"/>
          </w:tcPr>
          <w:p w14:paraId="152175BF">
            <w:pPr>
              <w:widowControl w:val="0"/>
              <w:jc w:val="center"/>
              <w:rPr>
                <w:snapToGrid w:val="0"/>
                <w:lang w:val="uk-UA"/>
              </w:rPr>
            </w:pPr>
            <w:r>
              <w:rPr>
                <w:snapToGrid w:val="0"/>
                <w:lang w:val="uk-UA"/>
              </w:rPr>
              <w:t>Великі</w:t>
            </w:r>
          </w:p>
        </w:tc>
        <w:tc>
          <w:tcPr>
            <w:tcW w:w="1563" w:type="dxa"/>
          </w:tcPr>
          <w:p w14:paraId="131EFF8B">
            <w:pPr>
              <w:widowControl w:val="0"/>
              <w:jc w:val="center"/>
              <w:rPr>
                <w:snapToGrid w:val="0"/>
                <w:lang w:val="uk-UA"/>
              </w:rPr>
            </w:pPr>
            <w:r>
              <w:rPr>
                <w:snapToGrid w:val="0"/>
                <w:lang w:val="uk-UA"/>
              </w:rPr>
              <w:t>Середні</w:t>
            </w:r>
          </w:p>
        </w:tc>
        <w:tc>
          <w:tcPr>
            <w:tcW w:w="1563" w:type="dxa"/>
          </w:tcPr>
          <w:p w14:paraId="6AB4A2F8">
            <w:pPr>
              <w:widowControl w:val="0"/>
              <w:jc w:val="center"/>
              <w:rPr>
                <w:snapToGrid w:val="0"/>
                <w:lang w:val="uk-UA"/>
              </w:rPr>
            </w:pPr>
            <w:r>
              <w:rPr>
                <w:snapToGrid w:val="0"/>
                <w:lang w:val="uk-UA"/>
              </w:rPr>
              <w:t>Малі</w:t>
            </w:r>
          </w:p>
        </w:tc>
        <w:tc>
          <w:tcPr>
            <w:tcW w:w="1563" w:type="dxa"/>
          </w:tcPr>
          <w:p w14:paraId="1E0C702C">
            <w:pPr>
              <w:widowControl w:val="0"/>
              <w:jc w:val="center"/>
              <w:rPr>
                <w:snapToGrid w:val="0"/>
                <w:lang w:val="uk-UA"/>
              </w:rPr>
            </w:pPr>
            <w:r>
              <w:rPr>
                <w:snapToGrid w:val="0"/>
                <w:lang w:val="uk-UA"/>
              </w:rPr>
              <w:t>Мікро</w:t>
            </w:r>
          </w:p>
        </w:tc>
        <w:tc>
          <w:tcPr>
            <w:tcW w:w="1136" w:type="dxa"/>
          </w:tcPr>
          <w:p w14:paraId="14CF0181">
            <w:pPr>
              <w:widowControl w:val="0"/>
              <w:jc w:val="center"/>
              <w:rPr>
                <w:snapToGrid w:val="0"/>
                <w:lang w:val="uk-UA"/>
              </w:rPr>
            </w:pPr>
            <w:r>
              <w:rPr>
                <w:snapToGrid w:val="0"/>
                <w:lang w:val="uk-UA"/>
              </w:rPr>
              <w:t>Разом</w:t>
            </w:r>
          </w:p>
        </w:tc>
      </w:tr>
      <w:tr w14:paraId="05CA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2" w:type="dxa"/>
          </w:tcPr>
          <w:p w14:paraId="066E3540">
            <w:pPr>
              <w:widowControl w:val="0"/>
              <w:rPr>
                <w:snapToGrid w:val="0"/>
                <w:lang w:val="uk-UA"/>
              </w:rPr>
            </w:pPr>
            <w:r>
              <w:rPr>
                <w:snapToGrid w:val="0"/>
                <w:lang w:val="uk-UA"/>
              </w:rPr>
              <w:t xml:space="preserve">Кількість </w:t>
            </w:r>
            <w:r>
              <w:rPr>
                <w:lang w:val="uk-UA"/>
              </w:rPr>
              <w:t>суб’єктів господарювання, що підпадають під дію регулювання, одиниць</w:t>
            </w:r>
          </w:p>
        </w:tc>
        <w:tc>
          <w:tcPr>
            <w:tcW w:w="1563" w:type="dxa"/>
          </w:tcPr>
          <w:p w14:paraId="3E44B5D4">
            <w:pPr>
              <w:widowControl w:val="0"/>
              <w:jc w:val="center"/>
              <w:rPr>
                <w:snapToGrid w:val="0"/>
                <w:lang w:val="uk-UA"/>
              </w:rPr>
            </w:pPr>
            <w:r>
              <w:rPr>
                <w:rStyle w:val="21"/>
                <w:bCs/>
                <w:color w:val="000000"/>
                <w:lang w:val="uk-UA"/>
              </w:rPr>
              <w:t>1</w:t>
            </w:r>
          </w:p>
        </w:tc>
        <w:tc>
          <w:tcPr>
            <w:tcW w:w="1563" w:type="dxa"/>
          </w:tcPr>
          <w:p w14:paraId="3DB68005">
            <w:pPr>
              <w:widowControl w:val="0"/>
              <w:jc w:val="center"/>
              <w:rPr>
                <w:snapToGrid w:val="0"/>
                <w:lang w:val="uk-UA"/>
              </w:rPr>
            </w:pPr>
            <w:r>
              <w:rPr>
                <w:rStyle w:val="21"/>
                <w:bCs/>
                <w:color w:val="000000"/>
                <w:lang w:val="uk-UA"/>
              </w:rPr>
              <w:t>-</w:t>
            </w:r>
          </w:p>
        </w:tc>
        <w:tc>
          <w:tcPr>
            <w:tcW w:w="1563" w:type="dxa"/>
          </w:tcPr>
          <w:p w14:paraId="0B8F1609">
            <w:pPr>
              <w:widowControl w:val="0"/>
              <w:jc w:val="center"/>
              <w:rPr>
                <w:snapToGrid w:val="0"/>
                <w:lang w:val="uk-UA"/>
              </w:rPr>
            </w:pPr>
            <w:r>
              <w:rPr>
                <w:rStyle w:val="21"/>
                <w:bCs/>
                <w:color w:val="000000"/>
                <w:lang w:val="uk-UA"/>
              </w:rPr>
              <w:t>4</w:t>
            </w:r>
          </w:p>
        </w:tc>
        <w:tc>
          <w:tcPr>
            <w:tcW w:w="1563" w:type="dxa"/>
          </w:tcPr>
          <w:p w14:paraId="3844F627">
            <w:pPr>
              <w:widowControl w:val="0"/>
              <w:jc w:val="center"/>
              <w:rPr>
                <w:snapToGrid w:val="0"/>
                <w:lang w:val="uk-UA"/>
              </w:rPr>
            </w:pPr>
            <w:r>
              <w:rPr>
                <w:rStyle w:val="21"/>
                <w:bCs/>
                <w:color w:val="000000"/>
                <w:lang w:val="uk-UA"/>
              </w:rPr>
              <w:t>1</w:t>
            </w:r>
          </w:p>
        </w:tc>
        <w:tc>
          <w:tcPr>
            <w:tcW w:w="1136" w:type="dxa"/>
          </w:tcPr>
          <w:p w14:paraId="4E36C682">
            <w:pPr>
              <w:widowControl w:val="0"/>
              <w:jc w:val="center"/>
              <w:rPr>
                <w:snapToGrid w:val="0"/>
                <w:lang w:val="uk-UA"/>
              </w:rPr>
            </w:pPr>
            <w:r>
              <w:rPr>
                <w:snapToGrid w:val="0"/>
                <w:lang w:val="uk-UA"/>
              </w:rPr>
              <w:t>6</w:t>
            </w:r>
          </w:p>
        </w:tc>
      </w:tr>
      <w:tr w14:paraId="223A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2" w:type="dxa"/>
          </w:tcPr>
          <w:p w14:paraId="53182152">
            <w:pPr>
              <w:widowControl w:val="0"/>
              <w:rPr>
                <w:snapToGrid w:val="0"/>
                <w:lang w:val="uk-UA"/>
              </w:rPr>
            </w:pPr>
            <w:r>
              <w:rPr>
                <w:snapToGrid w:val="0"/>
                <w:lang w:val="uk-UA"/>
              </w:rPr>
              <w:t>Питома вага групи у загальній кількості, відсотків</w:t>
            </w:r>
          </w:p>
        </w:tc>
        <w:tc>
          <w:tcPr>
            <w:tcW w:w="1563" w:type="dxa"/>
          </w:tcPr>
          <w:p w14:paraId="2680D985">
            <w:pPr>
              <w:widowControl w:val="0"/>
              <w:jc w:val="center"/>
              <w:rPr>
                <w:snapToGrid w:val="0"/>
                <w:lang w:val="uk-UA"/>
              </w:rPr>
            </w:pPr>
            <w:r>
              <w:rPr>
                <w:rStyle w:val="21"/>
                <w:bCs/>
                <w:color w:val="000000"/>
                <w:lang w:val="uk-UA"/>
              </w:rPr>
              <w:t>16,6</w:t>
            </w:r>
          </w:p>
        </w:tc>
        <w:tc>
          <w:tcPr>
            <w:tcW w:w="1563" w:type="dxa"/>
          </w:tcPr>
          <w:p w14:paraId="6283FF67">
            <w:pPr>
              <w:widowControl w:val="0"/>
              <w:jc w:val="center"/>
              <w:rPr>
                <w:snapToGrid w:val="0"/>
                <w:lang w:val="uk-UA"/>
              </w:rPr>
            </w:pPr>
            <w:r>
              <w:rPr>
                <w:rStyle w:val="21"/>
                <w:bCs/>
                <w:color w:val="000000"/>
                <w:lang w:val="uk-UA"/>
              </w:rPr>
              <w:t>-</w:t>
            </w:r>
          </w:p>
        </w:tc>
        <w:tc>
          <w:tcPr>
            <w:tcW w:w="1563" w:type="dxa"/>
          </w:tcPr>
          <w:p w14:paraId="676DEA21">
            <w:pPr>
              <w:widowControl w:val="0"/>
              <w:jc w:val="center"/>
              <w:rPr>
                <w:snapToGrid w:val="0"/>
                <w:lang w:val="uk-UA"/>
              </w:rPr>
            </w:pPr>
            <w:r>
              <w:rPr>
                <w:rStyle w:val="21"/>
                <w:bCs/>
                <w:color w:val="000000"/>
                <w:lang w:val="uk-UA"/>
              </w:rPr>
              <w:t>66,8</w:t>
            </w:r>
          </w:p>
        </w:tc>
        <w:tc>
          <w:tcPr>
            <w:tcW w:w="1563" w:type="dxa"/>
          </w:tcPr>
          <w:p w14:paraId="21079C37">
            <w:pPr>
              <w:widowControl w:val="0"/>
              <w:rPr>
                <w:snapToGrid w:val="0"/>
                <w:lang w:val="uk-UA"/>
              </w:rPr>
            </w:pPr>
            <w:r>
              <w:rPr>
                <w:rStyle w:val="21"/>
                <w:bCs/>
                <w:color w:val="000000"/>
                <w:lang w:val="uk-UA"/>
              </w:rPr>
              <w:t>16,6</w:t>
            </w:r>
          </w:p>
        </w:tc>
        <w:tc>
          <w:tcPr>
            <w:tcW w:w="1136" w:type="dxa"/>
          </w:tcPr>
          <w:p w14:paraId="2868392E">
            <w:pPr>
              <w:widowControl w:val="0"/>
              <w:jc w:val="center"/>
              <w:rPr>
                <w:snapToGrid w:val="0"/>
                <w:lang w:val="uk-UA"/>
              </w:rPr>
            </w:pPr>
            <w:r>
              <w:rPr>
                <w:snapToGrid w:val="0"/>
                <w:lang w:val="uk-UA"/>
              </w:rPr>
              <w:t>100</w:t>
            </w:r>
          </w:p>
        </w:tc>
      </w:tr>
    </w:tbl>
    <w:p w14:paraId="67489863">
      <w:pPr>
        <w:widowControl w:val="0"/>
        <w:rPr>
          <w:snapToGrid w:val="0"/>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4320"/>
        <w:gridCol w:w="2520"/>
      </w:tblGrid>
      <w:tr w14:paraId="7EDF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51EF6664">
            <w:pPr>
              <w:rPr>
                <w:lang w:val="uk-UA"/>
              </w:rPr>
            </w:pPr>
            <w:r>
              <w:rPr>
                <w:lang w:val="uk-UA"/>
              </w:rPr>
              <w:t xml:space="preserve">Вид альтернативи </w:t>
            </w:r>
          </w:p>
        </w:tc>
        <w:tc>
          <w:tcPr>
            <w:tcW w:w="4320" w:type="dxa"/>
          </w:tcPr>
          <w:p w14:paraId="21C88365">
            <w:pPr>
              <w:rPr>
                <w:lang w:val="uk-UA"/>
              </w:rPr>
            </w:pPr>
            <w:r>
              <w:rPr>
                <w:lang w:val="uk-UA"/>
              </w:rPr>
              <w:t>Вигоди</w:t>
            </w:r>
          </w:p>
        </w:tc>
        <w:tc>
          <w:tcPr>
            <w:tcW w:w="2520" w:type="dxa"/>
          </w:tcPr>
          <w:p w14:paraId="70A0BB6C">
            <w:pPr>
              <w:rPr>
                <w:lang w:val="uk-UA"/>
              </w:rPr>
            </w:pPr>
            <w:r>
              <w:rPr>
                <w:lang w:val="uk-UA"/>
              </w:rPr>
              <w:t>Витрати</w:t>
            </w:r>
          </w:p>
        </w:tc>
      </w:tr>
      <w:tr w14:paraId="275F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0A03F149">
            <w:pPr>
              <w:rPr>
                <w:color w:val="000000"/>
                <w:lang w:val="uk-UA"/>
              </w:rPr>
            </w:pPr>
            <w:r>
              <w:rPr>
                <w:bCs/>
                <w:color w:val="000000"/>
                <w:lang w:val="uk-UA"/>
              </w:rPr>
              <w:t>Альтернатива 1.</w:t>
            </w:r>
            <w:r>
              <w:rPr>
                <w:color w:val="000000"/>
                <w:lang w:val="uk-UA"/>
              </w:rPr>
              <w:t xml:space="preserve"> </w:t>
            </w:r>
          </w:p>
          <w:p w14:paraId="430B04F4">
            <w:pPr>
              <w:rPr>
                <w:lang w:val="uk-UA"/>
              </w:rPr>
            </w:pPr>
          </w:p>
        </w:tc>
        <w:tc>
          <w:tcPr>
            <w:tcW w:w="4320" w:type="dxa"/>
          </w:tcPr>
          <w:p w14:paraId="6C53E071">
            <w:pPr>
              <w:rPr>
                <w:lang w:val="uk-UA"/>
              </w:rPr>
            </w:pPr>
            <w:r>
              <w:rPr>
                <w:lang w:val="uk-UA"/>
              </w:rPr>
              <w:t>Відсутні</w:t>
            </w:r>
          </w:p>
        </w:tc>
        <w:tc>
          <w:tcPr>
            <w:tcW w:w="2520" w:type="dxa"/>
          </w:tcPr>
          <w:p w14:paraId="77610053">
            <w:pPr>
              <w:rPr>
                <w:lang w:val="uk-UA"/>
              </w:rPr>
            </w:pPr>
            <w:r>
              <w:rPr>
                <w:lang w:val="uk-UA"/>
              </w:rPr>
              <w:t>відсутні</w:t>
            </w:r>
          </w:p>
        </w:tc>
      </w:tr>
      <w:tr w14:paraId="2838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Pr>
          <w:p w14:paraId="1BAC8290">
            <w:pPr>
              <w:rPr>
                <w:lang w:val="uk-UA"/>
              </w:rPr>
            </w:pPr>
            <w:r>
              <w:rPr>
                <w:bCs/>
                <w:color w:val="000000"/>
                <w:lang w:val="uk-UA"/>
              </w:rPr>
              <w:t>Альтернатива 2.</w:t>
            </w:r>
            <w:r>
              <w:rPr>
                <w:color w:val="000000"/>
                <w:lang w:val="uk-UA"/>
              </w:rPr>
              <w:t xml:space="preserve"> </w:t>
            </w:r>
          </w:p>
        </w:tc>
        <w:tc>
          <w:tcPr>
            <w:tcW w:w="4320" w:type="dxa"/>
          </w:tcPr>
          <w:p w14:paraId="09B99AA3">
            <w:pPr>
              <w:rPr>
                <w:lang w:val="uk-UA"/>
              </w:rPr>
            </w:pPr>
            <w:r>
              <w:rPr>
                <w:lang w:val="uk-UA"/>
              </w:rPr>
              <w:t>Удосконалення взаємовідносин з органами місцевого самоврядування щодо залучення коштів замовників (інвесторів) будівництва об’єктів на території міста у створенні і розвитку інфраструктури населених пунктів;</w:t>
            </w:r>
          </w:p>
          <w:p w14:paraId="27DB5613">
            <w:pPr>
              <w:rPr>
                <w:lang w:val="uk-UA"/>
              </w:rPr>
            </w:pPr>
            <w:r>
              <w:rPr>
                <w:lang w:val="uk-UA"/>
              </w:rPr>
              <w:t>створення сприятливих умов для здійснення містобудівної діяльності;</w:t>
            </w:r>
          </w:p>
          <w:p w14:paraId="232C2D77">
            <w:pPr>
              <w:rPr>
                <w:lang w:val="uk-UA"/>
              </w:rPr>
            </w:pPr>
            <w:r>
              <w:rPr>
                <w:lang w:val="uk-UA"/>
              </w:rPr>
              <w:t>розвиток підприємницької діяльності.</w:t>
            </w:r>
          </w:p>
        </w:tc>
        <w:tc>
          <w:tcPr>
            <w:tcW w:w="2520" w:type="dxa"/>
          </w:tcPr>
          <w:p w14:paraId="3E021B5B">
            <w:pPr>
              <w:rPr>
                <w:lang w:val="uk-UA"/>
              </w:rPr>
            </w:pPr>
            <w:r>
              <w:rPr>
                <w:lang w:val="uk-UA"/>
              </w:rPr>
              <w:t>Сплата пайового внеску в разі здійснення будівництва об’єктів у випадках, передбачених проектом акта</w:t>
            </w:r>
          </w:p>
        </w:tc>
      </w:tr>
    </w:tbl>
    <w:p w14:paraId="1B8D4CF7">
      <w:pPr>
        <w:jc w:val="both"/>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6300"/>
      </w:tblGrid>
      <w:tr w14:paraId="6680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0" w:type="dxa"/>
          </w:tcPr>
          <w:p w14:paraId="6C68A326">
            <w:pPr>
              <w:jc w:val="center"/>
              <w:rPr>
                <w:lang w:val="uk-UA"/>
              </w:rPr>
            </w:pPr>
            <w:r>
              <w:rPr>
                <w:lang w:val="uk-UA"/>
              </w:rPr>
              <w:t>Сумарні витрати за альтернативами</w:t>
            </w:r>
          </w:p>
        </w:tc>
        <w:tc>
          <w:tcPr>
            <w:tcW w:w="6300" w:type="dxa"/>
          </w:tcPr>
          <w:p w14:paraId="156B23DD">
            <w:pPr>
              <w:jc w:val="center"/>
              <w:rPr>
                <w:lang w:val="uk-UA"/>
              </w:rPr>
            </w:pPr>
            <w:r>
              <w:rPr>
                <w:lang w:val="uk-UA"/>
              </w:rPr>
              <w:t>Сума витрат, гривень</w:t>
            </w:r>
          </w:p>
        </w:tc>
      </w:tr>
      <w:tr w14:paraId="437C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0" w:type="dxa"/>
          </w:tcPr>
          <w:p w14:paraId="4EFA72B0">
            <w:pPr>
              <w:rPr>
                <w:color w:val="000000"/>
                <w:lang w:val="uk-UA"/>
              </w:rPr>
            </w:pPr>
            <w:r>
              <w:rPr>
                <w:bCs/>
                <w:color w:val="000000"/>
                <w:lang w:val="uk-UA"/>
              </w:rPr>
              <w:t>Альтернатива 1.</w:t>
            </w:r>
            <w:r>
              <w:rPr>
                <w:color w:val="000000"/>
                <w:lang w:val="uk-UA"/>
              </w:rPr>
              <w:t xml:space="preserve"> </w:t>
            </w:r>
          </w:p>
          <w:p w14:paraId="3380A668">
            <w:pPr>
              <w:rPr>
                <w:lang w:val="uk-UA"/>
              </w:rPr>
            </w:pPr>
          </w:p>
        </w:tc>
        <w:tc>
          <w:tcPr>
            <w:tcW w:w="6300" w:type="dxa"/>
          </w:tcPr>
          <w:p w14:paraId="2563BDF1">
            <w:pPr>
              <w:rPr>
                <w:lang w:val="uk-UA"/>
              </w:rPr>
            </w:pPr>
            <w:r>
              <w:rPr>
                <w:lang w:val="uk-UA"/>
              </w:rPr>
              <w:t>відсутні</w:t>
            </w:r>
          </w:p>
        </w:tc>
      </w:tr>
      <w:tr w14:paraId="3F41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0" w:type="dxa"/>
          </w:tcPr>
          <w:p w14:paraId="79FCD320">
            <w:pPr>
              <w:rPr>
                <w:lang w:val="uk-UA"/>
              </w:rPr>
            </w:pPr>
            <w:r>
              <w:rPr>
                <w:bCs/>
                <w:color w:val="000000"/>
                <w:lang w:val="uk-UA"/>
              </w:rPr>
              <w:t>Альтернатива 2.</w:t>
            </w:r>
            <w:r>
              <w:rPr>
                <w:color w:val="000000"/>
                <w:lang w:val="uk-UA"/>
              </w:rPr>
              <w:t xml:space="preserve"> </w:t>
            </w:r>
          </w:p>
        </w:tc>
        <w:tc>
          <w:tcPr>
            <w:tcW w:w="6300" w:type="dxa"/>
          </w:tcPr>
          <w:p w14:paraId="74D3B54A">
            <w:pPr>
              <w:rPr>
                <w:b/>
                <w:lang w:val="uk-UA"/>
              </w:rPr>
            </w:pPr>
            <w:r>
              <w:rPr>
                <w:b/>
                <w:lang w:val="uk-UA"/>
              </w:rPr>
              <w:t>Сплата пайового внеску в разі здійснення будівництва об’єктів у випадках, передбачених проектом акта, у розмірі, який не перевищує 10 відсотків загальної кошторисної вартості будівництва нежитлових будівель та споруд і 4 відсотків загальної кошторисної вартості будівництва житлових будинків.</w:t>
            </w:r>
          </w:p>
        </w:tc>
      </w:tr>
    </w:tbl>
    <w:p w14:paraId="7F6D9EBB">
      <w:pPr>
        <w:jc w:val="both"/>
        <w:rPr>
          <w:b/>
          <w:color w:val="FF0000"/>
          <w:lang w:val="uk-UA"/>
        </w:rPr>
      </w:pPr>
    </w:p>
    <w:p w14:paraId="6C434429">
      <w:pPr>
        <w:jc w:val="both"/>
        <w:rPr>
          <w:b/>
          <w:color w:val="000000"/>
          <w:lang w:val="uk-UA"/>
        </w:rPr>
      </w:pPr>
      <w:r>
        <w:rPr>
          <w:b/>
          <w:color w:val="000000"/>
          <w:lang w:val="uk-UA"/>
        </w:rPr>
        <w:t>4. Вибір найбільш оптимального альтернативного способу досягнення цілей.</w:t>
      </w:r>
    </w:p>
    <w:p w14:paraId="4B59A77C">
      <w:pPr>
        <w:jc w:val="both"/>
        <w:rPr>
          <w:color w:val="000000"/>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2700"/>
        <w:gridCol w:w="4500"/>
      </w:tblGrid>
      <w:tr w14:paraId="478E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1A63BA5B">
            <w:pPr>
              <w:jc w:val="center"/>
              <w:rPr>
                <w:lang w:val="uk-UA"/>
              </w:rPr>
            </w:pPr>
            <w:r>
              <w:rPr>
                <w:lang w:val="uk-UA"/>
              </w:rPr>
              <w:t>Рейтинг результативності (досягнення цілей під час вирішення проблеми)</w:t>
            </w:r>
          </w:p>
        </w:tc>
        <w:tc>
          <w:tcPr>
            <w:tcW w:w="2700" w:type="dxa"/>
          </w:tcPr>
          <w:p w14:paraId="295FAE6B">
            <w:pPr>
              <w:jc w:val="center"/>
              <w:rPr>
                <w:lang w:val="uk-UA"/>
              </w:rPr>
            </w:pPr>
            <w:r>
              <w:rPr>
                <w:lang w:val="uk-UA"/>
              </w:rPr>
              <w:t>Бал результативності  (за чотирибальною системою оцінки)</w:t>
            </w:r>
          </w:p>
        </w:tc>
        <w:tc>
          <w:tcPr>
            <w:tcW w:w="4500" w:type="dxa"/>
          </w:tcPr>
          <w:p w14:paraId="3EE8290A">
            <w:pPr>
              <w:jc w:val="center"/>
              <w:rPr>
                <w:lang w:val="uk-UA"/>
              </w:rPr>
            </w:pPr>
            <w:r>
              <w:rPr>
                <w:lang w:val="uk-UA"/>
              </w:rPr>
              <w:t>Коментарі щодо присвоєння відповідного бала</w:t>
            </w:r>
          </w:p>
        </w:tc>
      </w:tr>
      <w:tr w14:paraId="7A91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02135A8E">
            <w:pPr>
              <w:rPr>
                <w:color w:val="000000"/>
                <w:lang w:val="uk-UA"/>
              </w:rPr>
            </w:pPr>
            <w:r>
              <w:rPr>
                <w:bCs/>
                <w:color w:val="000000"/>
                <w:lang w:val="uk-UA"/>
              </w:rPr>
              <w:t>Альтернатива 1.</w:t>
            </w:r>
            <w:r>
              <w:rPr>
                <w:color w:val="000000"/>
                <w:lang w:val="uk-UA"/>
              </w:rPr>
              <w:t xml:space="preserve"> </w:t>
            </w:r>
          </w:p>
          <w:p w14:paraId="256E5C62">
            <w:pPr>
              <w:rPr>
                <w:lang w:val="uk-UA"/>
              </w:rPr>
            </w:pPr>
          </w:p>
        </w:tc>
        <w:tc>
          <w:tcPr>
            <w:tcW w:w="2700" w:type="dxa"/>
          </w:tcPr>
          <w:p w14:paraId="6804306A">
            <w:pPr>
              <w:jc w:val="center"/>
              <w:rPr>
                <w:lang w:val="uk-UA"/>
              </w:rPr>
            </w:pPr>
            <w:r>
              <w:rPr>
                <w:lang w:val="uk-UA"/>
              </w:rPr>
              <w:t>1</w:t>
            </w:r>
          </w:p>
        </w:tc>
        <w:tc>
          <w:tcPr>
            <w:tcW w:w="4500" w:type="dxa"/>
          </w:tcPr>
          <w:p w14:paraId="460FC046">
            <w:pPr>
              <w:rPr>
                <w:lang w:val="uk-UA"/>
              </w:rPr>
            </w:pPr>
            <w:r>
              <w:rPr>
                <w:lang w:val="uk-UA"/>
              </w:rPr>
              <w:t>Залишення ситуації без змін. Дана альтернатива є неприйнятною.</w:t>
            </w:r>
          </w:p>
          <w:p w14:paraId="18AC6981">
            <w:pPr>
              <w:rPr>
                <w:lang w:val="uk-UA"/>
              </w:rPr>
            </w:pPr>
          </w:p>
        </w:tc>
      </w:tr>
      <w:tr w14:paraId="3351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0" w:type="dxa"/>
          </w:tcPr>
          <w:p w14:paraId="6657FD86">
            <w:pPr>
              <w:rPr>
                <w:lang w:val="uk-UA"/>
              </w:rPr>
            </w:pPr>
            <w:r>
              <w:rPr>
                <w:bCs/>
                <w:color w:val="000000"/>
                <w:lang w:val="uk-UA"/>
              </w:rPr>
              <w:t>Альтернатива 2.</w:t>
            </w:r>
            <w:r>
              <w:rPr>
                <w:color w:val="000000"/>
                <w:lang w:val="uk-UA"/>
              </w:rPr>
              <w:t xml:space="preserve"> </w:t>
            </w:r>
          </w:p>
        </w:tc>
        <w:tc>
          <w:tcPr>
            <w:tcW w:w="2700" w:type="dxa"/>
          </w:tcPr>
          <w:p w14:paraId="666AECC3">
            <w:pPr>
              <w:jc w:val="center"/>
              <w:rPr>
                <w:lang w:val="uk-UA"/>
              </w:rPr>
            </w:pPr>
            <w:r>
              <w:rPr>
                <w:lang w:val="uk-UA"/>
              </w:rPr>
              <w:t>4</w:t>
            </w:r>
          </w:p>
        </w:tc>
        <w:tc>
          <w:tcPr>
            <w:tcW w:w="4500" w:type="dxa"/>
          </w:tcPr>
          <w:p w14:paraId="53659659">
            <w:pPr>
              <w:rPr>
                <w:lang w:val="uk-UA"/>
              </w:rPr>
            </w:pPr>
            <w:r>
              <w:rPr>
                <w:lang w:val="uk-UA"/>
              </w:rPr>
              <w:t>У разі прийняття проекту акта, задекларовані ним цілі можуть бути досягнуті повною мірою стосовно приведення порядку залучення, розрахунку розміру і використання коштів пайової участі у розвитку інфраструктури населених пунктів у відповідність до вимог чинного законодавства України; встановлення прозорого і чітко врегульованого порядку та умов залучення, розрахунку розміру і величини пайової участі (внеску) замовників (інвесторів) у створенні і розвитку інженерно-транспортної та соціальної інфраструктури населених пунктів, а також здійснення контролю за її сплатою; забезпечення збільшення надходжень коштів до сільського бюджету для фінансування розвитку інженерно-транспортної та соціальної інфраструктури населених пунктів.</w:t>
            </w:r>
          </w:p>
        </w:tc>
      </w:tr>
    </w:tbl>
    <w:p w14:paraId="2593D716">
      <w:pPr>
        <w:jc w:val="both"/>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4"/>
        <w:gridCol w:w="2186"/>
        <w:gridCol w:w="2435"/>
        <w:gridCol w:w="2625"/>
      </w:tblGrid>
      <w:tr w14:paraId="57C4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75985FFA">
            <w:pPr>
              <w:jc w:val="both"/>
              <w:rPr>
                <w:lang w:val="uk-UA"/>
              </w:rPr>
            </w:pPr>
            <w:r>
              <w:rPr>
                <w:lang w:val="uk-UA"/>
              </w:rPr>
              <w:t>Рейтинг               результативності</w:t>
            </w:r>
          </w:p>
        </w:tc>
        <w:tc>
          <w:tcPr>
            <w:tcW w:w="2186" w:type="dxa"/>
          </w:tcPr>
          <w:p w14:paraId="3924F118">
            <w:pPr>
              <w:jc w:val="both"/>
              <w:rPr>
                <w:lang w:val="uk-UA"/>
              </w:rPr>
            </w:pPr>
            <w:r>
              <w:rPr>
                <w:lang w:val="uk-UA"/>
              </w:rPr>
              <w:t>Вигоди (підсумок)</w:t>
            </w:r>
          </w:p>
        </w:tc>
        <w:tc>
          <w:tcPr>
            <w:tcW w:w="2435" w:type="dxa"/>
          </w:tcPr>
          <w:p w14:paraId="3E34C260">
            <w:pPr>
              <w:jc w:val="both"/>
              <w:rPr>
                <w:lang w:val="uk-UA"/>
              </w:rPr>
            </w:pPr>
            <w:r>
              <w:rPr>
                <w:lang w:val="uk-UA"/>
              </w:rPr>
              <w:t>Витрати (підсумок)</w:t>
            </w:r>
          </w:p>
        </w:tc>
        <w:tc>
          <w:tcPr>
            <w:tcW w:w="2625" w:type="dxa"/>
          </w:tcPr>
          <w:p w14:paraId="6FB41E14">
            <w:pPr>
              <w:rPr>
                <w:lang w:val="uk-UA"/>
              </w:rPr>
            </w:pPr>
            <w:r>
              <w:rPr>
                <w:lang w:val="uk-UA"/>
              </w:rPr>
              <w:t>Обґрунтування відповідного місця альтернативи у рейтингу</w:t>
            </w:r>
          </w:p>
        </w:tc>
      </w:tr>
      <w:tr w14:paraId="00AA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32F7AD54">
            <w:pPr>
              <w:rPr>
                <w:color w:val="000000"/>
                <w:lang w:val="uk-UA"/>
              </w:rPr>
            </w:pPr>
            <w:r>
              <w:rPr>
                <w:bCs/>
                <w:color w:val="000000"/>
                <w:lang w:val="uk-UA"/>
              </w:rPr>
              <w:t>Альтернатива 1.</w:t>
            </w:r>
            <w:r>
              <w:rPr>
                <w:color w:val="000000"/>
                <w:lang w:val="uk-UA"/>
              </w:rPr>
              <w:t xml:space="preserve"> </w:t>
            </w:r>
          </w:p>
          <w:p w14:paraId="6F696240">
            <w:pPr>
              <w:rPr>
                <w:lang w:val="uk-UA"/>
              </w:rPr>
            </w:pPr>
          </w:p>
        </w:tc>
        <w:tc>
          <w:tcPr>
            <w:tcW w:w="2186" w:type="dxa"/>
          </w:tcPr>
          <w:p w14:paraId="2046D4F8">
            <w:pPr>
              <w:rPr>
                <w:lang w:val="uk-UA"/>
              </w:rPr>
            </w:pPr>
            <w:r>
              <w:rPr>
                <w:lang w:val="uk-UA"/>
              </w:rPr>
              <w:t xml:space="preserve">Відсутні </w:t>
            </w:r>
          </w:p>
        </w:tc>
        <w:tc>
          <w:tcPr>
            <w:tcW w:w="2435" w:type="dxa"/>
          </w:tcPr>
          <w:p w14:paraId="1E8A00C5">
            <w:pPr>
              <w:rPr>
                <w:lang w:val="uk-UA"/>
              </w:rPr>
            </w:pPr>
            <w:r>
              <w:rPr>
                <w:lang w:val="uk-UA"/>
              </w:rPr>
              <w:t>Відсутні</w:t>
            </w:r>
          </w:p>
        </w:tc>
        <w:tc>
          <w:tcPr>
            <w:tcW w:w="2625" w:type="dxa"/>
          </w:tcPr>
          <w:p w14:paraId="7E4F95F7">
            <w:pPr>
              <w:rPr>
                <w:lang w:val="uk-UA"/>
              </w:rPr>
            </w:pPr>
            <w:r>
              <w:rPr>
                <w:lang w:val="uk-UA"/>
              </w:rPr>
              <w:t>Залишення ситуації без змін. Дана альтернатива є неприйнятною.</w:t>
            </w:r>
          </w:p>
          <w:p w14:paraId="7C12D855">
            <w:pPr>
              <w:rPr>
                <w:lang w:val="uk-UA"/>
              </w:rPr>
            </w:pPr>
          </w:p>
        </w:tc>
      </w:tr>
      <w:tr w14:paraId="09AF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4" w:type="dxa"/>
          </w:tcPr>
          <w:p w14:paraId="176B98AE">
            <w:pPr>
              <w:rPr>
                <w:lang w:val="uk-UA"/>
              </w:rPr>
            </w:pPr>
            <w:r>
              <w:rPr>
                <w:bCs/>
                <w:color w:val="000000"/>
                <w:lang w:val="uk-UA"/>
              </w:rPr>
              <w:t>Альтернатива 2.</w:t>
            </w:r>
            <w:r>
              <w:rPr>
                <w:color w:val="000000"/>
                <w:lang w:val="uk-UA"/>
              </w:rPr>
              <w:t xml:space="preserve"> </w:t>
            </w:r>
          </w:p>
        </w:tc>
        <w:tc>
          <w:tcPr>
            <w:tcW w:w="2186" w:type="dxa"/>
          </w:tcPr>
          <w:p w14:paraId="1D2A9710">
            <w:pPr>
              <w:rPr>
                <w:lang w:val="uk-UA"/>
              </w:rPr>
            </w:pPr>
            <w:r>
              <w:rPr>
                <w:lang w:val="uk-UA"/>
              </w:rPr>
              <w:t>У разі прийняття проекту акта, вигода для територіальної громади полягатиме в приведенні порядку залучення, розрахунку розміру і використання коштів пайової участі у розвитку інфраструктури населених пунктів у відповідність до вимог чинного законодавства України та збільшенні надходжень коштів до сільського бюджету для фінансування розвитку інженерно-транспортної та соціальної інфраструктури населених пунктів, а для громадян – у покращенні інженерно-транспортної та соціальної інфраструктури населених пунктів. Суб’єкти господарювання отримають прозорий і чітко врегульований порядок та умови залучення, розрахунку розміру і величини пайової участі (внеску) замовників (інвесторів) у створенні і розвитку інженерно-транспортної та соціальної інфраструктури, а також здійснення контролю за її сплатою.</w:t>
            </w:r>
          </w:p>
        </w:tc>
        <w:tc>
          <w:tcPr>
            <w:tcW w:w="2435" w:type="dxa"/>
          </w:tcPr>
          <w:p w14:paraId="29151133">
            <w:pPr>
              <w:rPr>
                <w:lang w:val="uk-UA"/>
              </w:rPr>
            </w:pPr>
            <w:r>
              <w:rPr>
                <w:lang w:val="uk-UA"/>
              </w:rPr>
              <w:t>У разі прийняття проекту акта, територіальна громада не нестиме ніяких матеріальних та інших витрат. Громадяни та суб’єкти господарювання сплачуватимуть пайовий внесок в разі здійснення будівництва об’єктів у випадках, передбачених проектом акта.</w:t>
            </w:r>
          </w:p>
        </w:tc>
        <w:tc>
          <w:tcPr>
            <w:tcW w:w="2625" w:type="dxa"/>
          </w:tcPr>
          <w:p w14:paraId="14C8C7DF">
            <w:pPr>
              <w:rPr>
                <w:lang w:val="uk-UA"/>
              </w:rPr>
            </w:pPr>
            <w:r>
              <w:rPr>
                <w:lang w:val="uk-UA"/>
              </w:rPr>
              <w:t xml:space="preserve">У разі прийняття проекту акта, задекларовані ним цілі будуть досягнуті повною мірою, що повністю забезпечить потребу у вирішенні проблеми та зникне її неврегульованість </w:t>
            </w:r>
          </w:p>
        </w:tc>
      </w:tr>
    </w:tbl>
    <w:p w14:paraId="29233493">
      <w:pPr>
        <w:jc w:val="both"/>
        <w:rPr>
          <w:lang w:val="uk-UA"/>
        </w:rPr>
      </w:pPr>
    </w:p>
    <w:tbl>
      <w:tblPr>
        <w:tblStyle w:val="3"/>
        <w:tblW w:w="97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3844"/>
        <w:gridCol w:w="3716"/>
      </w:tblGrid>
      <w:tr w14:paraId="4E53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1349992D">
            <w:pPr>
              <w:rPr>
                <w:lang w:val="uk-UA"/>
              </w:rPr>
            </w:pPr>
            <w:r>
              <w:rPr>
                <w:lang w:val="uk-UA"/>
              </w:rPr>
              <w:t xml:space="preserve">Рейтинг </w:t>
            </w:r>
          </w:p>
        </w:tc>
        <w:tc>
          <w:tcPr>
            <w:tcW w:w="3844" w:type="dxa"/>
          </w:tcPr>
          <w:p w14:paraId="0648B4EB">
            <w:pPr>
              <w:rPr>
                <w:lang w:val="uk-UA"/>
              </w:rPr>
            </w:pPr>
            <w:r>
              <w:rPr>
                <w:lang w:val="uk-UA"/>
              </w:rPr>
              <w:t>Аргументи щодо переваги обраної альтернативи/ причини відмови від альтернативи</w:t>
            </w:r>
          </w:p>
        </w:tc>
        <w:tc>
          <w:tcPr>
            <w:tcW w:w="3716" w:type="dxa"/>
          </w:tcPr>
          <w:p w14:paraId="783D797E">
            <w:pPr>
              <w:rPr>
                <w:lang w:val="uk-UA"/>
              </w:rPr>
            </w:pPr>
            <w:r>
              <w:rPr>
                <w:lang w:val="uk-UA"/>
              </w:rPr>
              <w:t>Оцінка ризику зовнішніх чинників на дію запропонованого регуляторного акта</w:t>
            </w:r>
          </w:p>
        </w:tc>
      </w:tr>
      <w:tr w14:paraId="70DE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2D84277C">
            <w:pPr>
              <w:rPr>
                <w:color w:val="000000"/>
                <w:lang w:val="uk-UA"/>
              </w:rPr>
            </w:pPr>
            <w:r>
              <w:rPr>
                <w:bCs/>
                <w:color w:val="000000"/>
                <w:lang w:val="uk-UA"/>
              </w:rPr>
              <w:t>Альтернатива 1.</w:t>
            </w:r>
            <w:r>
              <w:rPr>
                <w:color w:val="000000"/>
                <w:lang w:val="uk-UA"/>
              </w:rPr>
              <w:t xml:space="preserve"> </w:t>
            </w:r>
          </w:p>
          <w:p w14:paraId="72A8B58E">
            <w:pPr>
              <w:rPr>
                <w:lang w:val="uk-UA"/>
              </w:rPr>
            </w:pPr>
          </w:p>
        </w:tc>
        <w:tc>
          <w:tcPr>
            <w:tcW w:w="3844" w:type="dxa"/>
          </w:tcPr>
          <w:p w14:paraId="2AE5913E">
            <w:pPr>
              <w:rPr>
                <w:lang w:val="uk-UA"/>
              </w:rPr>
            </w:pPr>
            <w:r>
              <w:rPr>
                <w:lang w:val="uk-UA"/>
              </w:rPr>
              <w:t>Ситуація залишається без змін, проблема не вирішується</w:t>
            </w:r>
          </w:p>
        </w:tc>
        <w:tc>
          <w:tcPr>
            <w:tcW w:w="3716" w:type="dxa"/>
          </w:tcPr>
          <w:p w14:paraId="4CEB81D7">
            <w:pPr>
              <w:widowControl w:val="0"/>
              <w:jc w:val="center"/>
              <w:rPr>
                <w:lang w:val="uk-UA"/>
              </w:rPr>
            </w:pPr>
            <w:r>
              <w:rPr>
                <w:lang w:val="uk-UA"/>
              </w:rPr>
              <w:t>Х</w:t>
            </w:r>
          </w:p>
        </w:tc>
      </w:tr>
      <w:tr w14:paraId="4AF8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Pr>
          <w:p w14:paraId="064AF536">
            <w:pPr>
              <w:rPr>
                <w:lang w:val="uk-UA"/>
              </w:rPr>
            </w:pPr>
            <w:r>
              <w:rPr>
                <w:bCs/>
                <w:color w:val="000000"/>
                <w:lang w:val="uk-UA"/>
              </w:rPr>
              <w:t>Альтернатива 2.</w:t>
            </w:r>
            <w:r>
              <w:rPr>
                <w:color w:val="000000"/>
                <w:lang w:val="uk-UA"/>
              </w:rPr>
              <w:t xml:space="preserve"> </w:t>
            </w:r>
          </w:p>
        </w:tc>
        <w:tc>
          <w:tcPr>
            <w:tcW w:w="3844" w:type="dxa"/>
          </w:tcPr>
          <w:p w14:paraId="31FD4001">
            <w:pPr>
              <w:rPr>
                <w:lang w:val="uk-UA"/>
              </w:rPr>
            </w:pPr>
            <w:r>
              <w:rPr>
                <w:lang w:val="uk-UA"/>
              </w:rPr>
              <w:t>Прийняття проекту акта забезпечить повною мірою досягнення задекларованих ним цілей стосовно приведення порядку залучення, розрахунку розміру і використання коштів пайової участі у розвитку інфраструктури населених пунктів у відповідність до вимог чинного законодавства України; встановлення прозорого і чітко врегульованого порядку та умов залучення, розрахунку розміру і величини пайової участі (внеску) замовників (інвесторів) у створенні і розвитку інженерно-транспортної та соціальної інфраструктури населених пунктів</w:t>
            </w:r>
          </w:p>
        </w:tc>
        <w:tc>
          <w:tcPr>
            <w:tcW w:w="3716" w:type="dxa"/>
          </w:tcPr>
          <w:p w14:paraId="6D4A408E">
            <w:pPr>
              <w:rPr>
                <w:lang w:val="uk-UA"/>
              </w:rPr>
            </w:pPr>
            <w:r>
              <w:rPr>
                <w:lang w:val="uk-UA"/>
              </w:rPr>
              <w:t xml:space="preserve">Деякий час на дію запропонованого регуляторного акта може впливати низька обізнаність суб’єктів, на яких поширюється дія цього акта, та відмінність регулювання, що пропонується, з існуючим регулюванням </w:t>
            </w:r>
          </w:p>
        </w:tc>
      </w:tr>
    </w:tbl>
    <w:p w14:paraId="7F07DB10">
      <w:pPr>
        <w:ind w:firstLine="708"/>
        <w:jc w:val="both"/>
        <w:rPr>
          <w:b/>
          <w:color w:val="000000"/>
          <w:lang w:val="uk-UA"/>
        </w:rPr>
      </w:pPr>
    </w:p>
    <w:p w14:paraId="29FBB13E">
      <w:pPr>
        <w:jc w:val="both"/>
        <w:rPr>
          <w:b/>
          <w:color w:val="000000"/>
          <w:lang w:val="uk-UA"/>
        </w:rPr>
      </w:pPr>
      <w:r>
        <w:rPr>
          <w:b/>
          <w:color w:val="000000"/>
          <w:lang w:val="uk-UA"/>
        </w:rPr>
        <w:t>5. Механізм та заходи, які забезпечать розв’язання визначеної проблеми.</w:t>
      </w:r>
    </w:p>
    <w:p w14:paraId="52B63A4A">
      <w:pPr>
        <w:widowControl w:val="0"/>
        <w:ind w:firstLine="708"/>
        <w:jc w:val="both"/>
        <w:rPr>
          <w:lang w:val="uk-UA"/>
        </w:rPr>
      </w:pPr>
      <w:r>
        <w:rPr>
          <w:color w:val="000000"/>
          <w:lang w:val="uk-UA"/>
        </w:rPr>
        <w:t>Дія запропонованого проекту</w:t>
      </w:r>
      <w:r>
        <w:rPr>
          <w:lang w:val="uk-UA"/>
        </w:rPr>
        <w:t xml:space="preserve"> регуляторного акта поширюється на всіх замовників (суб’єктів господарювання та громадян), що мають намір здійснювати будівництво об’єктів на території населених пунктів Широківської сільської ради. </w:t>
      </w:r>
    </w:p>
    <w:p w14:paraId="0AE126C3">
      <w:pPr>
        <w:jc w:val="both"/>
        <w:rPr>
          <w:lang w:val="uk-UA"/>
        </w:rPr>
      </w:pPr>
      <w:r>
        <w:rPr>
          <w:lang w:val="uk-UA"/>
        </w:rPr>
        <w:t xml:space="preserve"> </w:t>
      </w:r>
      <w:r>
        <w:rPr>
          <w:lang w:val="uk-UA"/>
        </w:rPr>
        <w:tab/>
      </w:r>
      <w:r>
        <w:rPr>
          <w:lang w:val="uk-UA"/>
        </w:rPr>
        <w:t>Цей проект регуляторного акта визначає і регулює повноваження Широківської сільської ради та її виконавчих органів щодо вирішення питань пайової участі (внеску) замовників (інвесторів) у створенні і розвитку інфраструктури населених пунктів громади.</w:t>
      </w:r>
    </w:p>
    <w:p w14:paraId="286B59B2">
      <w:pPr>
        <w:ind w:firstLine="708"/>
        <w:jc w:val="both"/>
        <w:rPr>
          <w:lang w:val="uk-UA"/>
        </w:rPr>
      </w:pPr>
      <w:r>
        <w:rPr>
          <w:bCs/>
          <w:lang w:val="uk-UA"/>
        </w:rPr>
        <w:t>Клопотання (звернення) замовників (інвесторів) щодо їх незалучення до пайової участі або зменшення розміру пайової участі (внеску) у створенні і розвитку інженерно-транспортної та соціальної інфраструктури населених пунктів громади розглядаються та вирішуються виконавчим комітетом сільської ради.</w:t>
      </w:r>
    </w:p>
    <w:p w14:paraId="791B046F">
      <w:pPr>
        <w:ind w:firstLine="708"/>
        <w:jc w:val="both"/>
        <w:rPr>
          <w:bCs/>
          <w:shd w:val="clear" w:color="auto" w:fill="FFFFFF"/>
          <w:lang w:val="uk-UA"/>
        </w:rPr>
      </w:pPr>
      <w:r>
        <w:rPr>
          <w:lang w:val="uk-UA"/>
        </w:rPr>
        <w:t xml:space="preserve">Контроль за сплатою пайової участі (внеску) замовників (інвесторів) у розвитку інфраструктури населених пунктів здійснюється </w:t>
      </w:r>
      <w:r>
        <w:rPr>
          <w:shd w:val="clear" w:color="auto" w:fill="FFFFFF"/>
          <w:lang w:val="uk-UA"/>
        </w:rPr>
        <w:t>органами державного архітектурно-будівельного контролю</w:t>
      </w:r>
      <w:r>
        <w:rPr>
          <w:lang w:val="uk-UA"/>
        </w:rPr>
        <w:t xml:space="preserve"> під час </w:t>
      </w:r>
      <w:r>
        <w:rPr>
          <w:bCs/>
          <w:shd w:val="clear" w:color="auto" w:fill="FFFFFF"/>
          <w:lang w:val="uk-UA"/>
        </w:rPr>
        <w:t>прийняття в експлуатацію закінчених будівництвом об’єктів.</w:t>
      </w:r>
    </w:p>
    <w:p w14:paraId="7F2C2A73">
      <w:pPr>
        <w:jc w:val="both"/>
        <w:rPr>
          <w:lang w:val="uk-UA"/>
        </w:rPr>
      </w:pPr>
      <w:r>
        <w:rPr>
          <w:lang w:val="uk-UA"/>
        </w:rPr>
        <w:t xml:space="preserve"> </w:t>
      </w:r>
      <w:r>
        <w:rPr>
          <w:lang w:val="uk-UA"/>
        </w:rPr>
        <w:tab/>
      </w:r>
      <w:r>
        <w:rPr>
          <w:lang w:val="uk-UA"/>
        </w:rPr>
        <w:t>Контроль за виконанням замовником (інвестором) умов договору про пайову участь (внесок) замовників (інвесторів) у створенні і розвитку інженерно-транспортної та соціальної інфраструктури населених пунктів здійснює виконавчі органи сільської ради, а претензійно-позовну роботу, пов’язану з не укладенням та/або з невиконання умов цих договорів, здійснює юридичний відділ сільської ради.</w:t>
      </w:r>
    </w:p>
    <w:p w14:paraId="7CD255FC">
      <w:pPr>
        <w:ind w:firstLine="708"/>
        <w:jc w:val="both"/>
        <w:rPr>
          <w:lang w:val="uk-UA"/>
        </w:rPr>
      </w:pPr>
      <w:r>
        <w:rPr>
          <w:lang w:val="uk-UA"/>
        </w:rPr>
        <w:t>Кошти, отримані як пайова участь замовників (інвесторів) у розвитку інфраструктури міста, використовуються виключно для створення і розвитку інженерно-транспортної та соціальної інфраструктури населених пунктів Широківської сільської ради. Рішення щодо розподілу коштів пайової участі приймає Широківська сільська рада при формуванні та затвердженні бюджету на кожний рік.</w:t>
      </w:r>
    </w:p>
    <w:p w14:paraId="3F896880">
      <w:pPr>
        <w:jc w:val="both"/>
        <w:rPr>
          <w:lang w:val="uk-UA"/>
        </w:rPr>
      </w:pPr>
      <w:r>
        <w:rPr>
          <w:lang w:val="uk-UA"/>
        </w:rPr>
        <w:t xml:space="preserve">     Проектом регуляторного акта визначаються:     </w:t>
      </w:r>
    </w:p>
    <w:p w14:paraId="672D6016">
      <w:pPr>
        <w:jc w:val="both"/>
        <w:rPr>
          <w:color w:val="000000"/>
          <w:lang w:val="uk-UA"/>
        </w:rPr>
      </w:pPr>
      <w:r>
        <w:rPr>
          <w:color w:val="000000"/>
          <w:lang w:val="uk-UA"/>
        </w:rPr>
        <w:t xml:space="preserve">     - порядок залучення, розрахунку розміру і використання коштів пайової участі у розвитку інфраструктури населених пунктів;</w:t>
      </w:r>
    </w:p>
    <w:p w14:paraId="35E5702B">
      <w:pPr>
        <w:pStyle w:val="8"/>
        <w:tabs>
          <w:tab w:val="left" w:pos="-2520"/>
          <w:tab w:val="clear" w:pos="916"/>
          <w:tab w:val="clear" w:pos="1832"/>
          <w:tab w:val="clear" w:pos="2748"/>
          <w:tab w:val="clear" w:pos="3664"/>
          <w:tab w:val="clear" w:pos="4580"/>
          <w:tab w:val="clear" w:pos="5496"/>
          <w:tab w:val="clear" w:pos="6412"/>
          <w:tab w:val="clear" w:pos="7328"/>
          <w:tab w:val="clear" w:pos="8244"/>
          <w:tab w:val="clear" w:pos="9160"/>
          <w:tab w:val="clear" w:pos="10076"/>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 чіткий перелік об’єктів у разі будівництва яких замовники (інвестори) не залучаються до пайової участі (внеску) у створенні і розвитку інженерно-транспортної та соціальної інфраструктури населених пунктів; </w:t>
      </w:r>
    </w:p>
    <w:p w14:paraId="0614FC80">
      <w:pPr>
        <w:jc w:val="both"/>
        <w:rPr>
          <w:lang w:val="uk-UA"/>
        </w:rPr>
      </w:pPr>
      <w:r>
        <w:rPr>
          <w:lang w:val="uk-UA"/>
        </w:rPr>
        <w:t xml:space="preserve">     - умови зменшення розміру пайової участі (внеску) замовників (інвесторів) у створенні і розвитку інженерно-транспортної та соціальної інфраструктури населених пунктів;</w:t>
      </w:r>
    </w:p>
    <w:p w14:paraId="22FBE703">
      <w:pPr>
        <w:jc w:val="both"/>
        <w:rPr>
          <w:lang w:val="uk-UA"/>
        </w:rPr>
      </w:pPr>
      <w:r>
        <w:rPr>
          <w:lang w:val="uk-UA"/>
        </w:rPr>
        <w:t xml:space="preserve">     - порядок та умови укладення договорів про пайову участь (внесок) замовників (інвесторів) у створенні і розвитку інженерно-транспортної та соціальної інфраструктури населених пуктів, а також перелік документів необхідний для їх укладення;</w:t>
      </w:r>
    </w:p>
    <w:p w14:paraId="1EA8EE76">
      <w:pPr>
        <w:jc w:val="both"/>
        <w:rPr>
          <w:lang w:val="uk-UA"/>
        </w:rPr>
      </w:pPr>
      <w:r>
        <w:rPr>
          <w:lang w:val="uk-UA"/>
        </w:rPr>
        <w:t xml:space="preserve">     - форма типового договору про пайову участь (внесок) замовників (інвесторів) у створенні і розвитку інженерно-транспортної та соціальної інфраструктури.</w:t>
      </w:r>
    </w:p>
    <w:p w14:paraId="27603F25">
      <w:pPr>
        <w:jc w:val="both"/>
        <w:rPr>
          <w:lang w:val="uk-UA"/>
        </w:rPr>
      </w:pPr>
      <w:r>
        <w:rPr>
          <w:lang w:val="uk-UA"/>
        </w:rPr>
        <w:t xml:space="preserve">      Для впровадження цього регуляторного акта необхідно здійснити такі організаційні заходи як забезпечення інформування суб’єктів господарювання та громадськості про вимоги регуляторного акта шляхом оприлюднення його в засобах масової інформації, мережі Інтернет та проведення інформаційно-роз’яснювальної роботи виконавчими органами сільської ради.</w:t>
      </w:r>
    </w:p>
    <w:p w14:paraId="37FD8549">
      <w:pPr>
        <w:jc w:val="both"/>
        <w:rPr>
          <w:lang w:val="uk-UA"/>
        </w:rPr>
      </w:pPr>
    </w:p>
    <w:p w14:paraId="22B2E66E">
      <w:pPr>
        <w:jc w:val="both"/>
        <w:rPr>
          <w:lang w:val="uk-UA"/>
        </w:rPr>
      </w:pPr>
      <w:r>
        <w:rPr>
          <w:b/>
          <w:lang w:val="uk-UA"/>
        </w:rPr>
        <w:t>6.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56714F62">
      <w:pPr>
        <w:shd w:val="clear" w:color="auto" w:fill="FFFFFF"/>
        <w:tabs>
          <w:tab w:val="left" w:pos="709"/>
        </w:tabs>
        <w:jc w:val="both"/>
        <w:rPr>
          <w:bCs/>
          <w:color w:val="000000"/>
          <w:spacing w:val="-5"/>
          <w:lang w:val="uk-UA" w:eastAsia="uk-UA"/>
        </w:rPr>
      </w:pPr>
      <w:r>
        <w:rPr>
          <w:bCs/>
          <w:color w:val="000000"/>
          <w:spacing w:val="-5"/>
          <w:lang w:val="uk-UA" w:eastAsia="uk-UA"/>
        </w:rPr>
        <w:tab/>
      </w:r>
      <w:r>
        <w:rPr>
          <w:bCs/>
          <w:color w:val="000000"/>
          <w:spacing w:val="-5"/>
          <w:lang w:val="uk-UA" w:eastAsia="uk-UA"/>
        </w:rPr>
        <w:t xml:space="preserve">Питома вага суб’єктів малого підприємництва  у загальній кількості суб’єктів господарювання, на яких поширюється регулювання, складає  83,4%. Зважаючи на викладене здійснюємо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акту (Тест малого підприємництва). Таким чином, розрахунок витрат на виконання вимог регуляторного акту для виконавчої влади та місцевого самоврядування згідно з додатком 3 до Методики проведення аналізу впливу регуляторного акту не здійснюється. </w:t>
      </w:r>
    </w:p>
    <w:p w14:paraId="180FE6F6">
      <w:pPr>
        <w:jc w:val="both"/>
        <w:rPr>
          <w:lang w:val="uk-UA"/>
        </w:rPr>
      </w:pPr>
    </w:p>
    <w:p w14:paraId="7D43574E">
      <w:pPr>
        <w:jc w:val="both"/>
        <w:rPr>
          <w:b/>
          <w:snapToGrid w:val="0"/>
          <w:lang w:val="uk-UA"/>
        </w:rPr>
      </w:pPr>
      <w:r>
        <w:rPr>
          <w:b/>
          <w:snapToGrid w:val="0"/>
          <w:lang w:val="uk-UA"/>
        </w:rPr>
        <w:t xml:space="preserve">7. Обґрунтування запропонованого строку дії регуляторного акта: </w:t>
      </w:r>
    </w:p>
    <w:p w14:paraId="54E0C0AE">
      <w:pPr>
        <w:jc w:val="both"/>
        <w:rPr>
          <w:color w:val="FF0000"/>
          <w:lang w:val="uk-UA"/>
        </w:rPr>
      </w:pPr>
      <w:r>
        <w:rPr>
          <w:lang w:val="uk-UA"/>
        </w:rPr>
        <w:t xml:space="preserve">        Строк дії цього регуляторного акта встановлюється на необмежений термін, оскільки він регулює відносини, які мають перманентний характер. </w:t>
      </w:r>
    </w:p>
    <w:p w14:paraId="50355E17">
      <w:pPr>
        <w:jc w:val="both"/>
        <w:rPr>
          <w:color w:val="FF0000"/>
          <w:lang w:val="uk-UA"/>
        </w:rPr>
      </w:pPr>
    </w:p>
    <w:p w14:paraId="0FEBD151">
      <w:pPr>
        <w:jc w:val="both"/>
        <w:rPr>
          <w:b/>
          <w:color w:val="000000"/>
          <w:lang w:val="uk-UA"/>
        </w:rPr>
      </w:pPr>
      <w:r>
        <w:rPr>
          <w:b/>
          <w:color w:val="000000"/>
          <w:lang w:val="uk-UA"/>
        </w:rPr>
        <w:t>8</w:t>
      </w:r>
      <w:r>
        <w:rPr>
          <w:color w:val="000000"/>
          <w:lang w:val="uk-UA"/>
        </w:rPr>
        <w:t xml:space="preserve">. </w:t>
      </w:r>
      <w:r>
        <w:rPr>
          <w:b/>
          <w:color w:val="000000"/>
          <w:lang w:val="uk-UA"/>
        </w:rPr>
        <w:t>Визначення показників результативності дії регуляторного акта.</w:t>
      </w:r>
    </w:p>
    <w:p w14:paraId="2DB1E111">
      <w:pPr>
        <w:pStyle w:val="6"/>
        <w:ind w:left="0" w:firstLine="708"/>
      </w:pPr>
      <w:r>
        <w:t>При відстеженні результативності регуляторного акта будуть використовуватися наступні показники:</w:t>
      </w:r>
    </w:p>
    <w:p w14:paraId="46076771">
      <w:pPr>
        <w:jc w:val="both"/>
        <w:rPr>
          <w:lang w:val="uk-UA"/>
        </w:rPr>
      </w:pPr>
      <w:r>
        <w:rPr>
          <w:lang w:val="uk-UA"/>
        </w:rPr>
        <w:t xml:space="preserve">     - кількість укладених договорів про пайову участь (внесок) замовників (інвесторів) у створенні і розвитку інженерно-транспортної та соціальної інфраструктури населених пунктів громади;</w:t>
      </w:r>
    </w:p>
    <w:p w14:paraId="7218CBC0">
      <w:pPr>
        <w:jc w:val="both"/>
        <w:rPr>
          <w:rStyle w:val="7"/>
          <w:bCs/>
          <w:i w:val="0"/>
          <w:color w:val="000000"/>
          <w:lang w:val="uk-UA"/>
        </w:rPr>
      </w:pPr>
      <w:r>
        <w:rPr>
          <w:lang w:val="uk-UA"/>
        </w:rPr>
        <w:t xml:space="preserve">     </w:t>
      </w:r>
      <w:r>
        <w:t xml:space="preserve">- обсяг сплачених замовниками (інвесторами) коштів (грн) до </w:t>
      </w:r>
      <w:r>
        <w:rPr>
          <w:lang w:val="uk-UA"/>
        </w:rPr>
        <w:t>сільського бюджету на створення і розвиток інженерно-транспортної та соціальної інфраструктури населених пунктів</w:t>
      </w:r>
      <w:r>
        <w:rPr>
          <w:rStyle w:val="7"/>
          <w:bCs/>
          <w:i w:val="0"/>
          <w:color w:val="000000"/>
          <w:lang w:val="uk-UA"/>
        </w:rPr>
        <w:t xml:space="preserve">(даний показник не впливає на результативність регуляторного акта). </w:t>
      </w:r>
    </w:p>
    <w:p w14:paraId="4D533619">
      <w:pPr>
        <w:jc w:val="both"/>
        <w:rPr>
          <w:lang w:val="uk-UA"/>
        </w:rPr>
      </w:pPr>
      <w:r>
        <w:rPr>
          <w:lang w:val="uk-UA"/>
        </w:rPr>
        <w:t xml:space="preserve">      - кількість суб’єктів господарювання та фізичних осіб, </w:t>
      </w:r>
      <w:r>
        <w:rPr>
          <w:color w:val="000000"/>
          <w:lang w:val="uk-UA"/>
        </w:rPr>
        <w:t xml:space="preserve">на яких розповсюджується дія регуляторного акта </w:t>
      </w:r>
      <w:r>
        <w:rPr>
          <w:rStyle w:val="7"/>
          <w:bCs/>
          <w:i w:val="0"/>
          <w:color w:val="000000"/>
          <w:lang w:val="uk-UA"/>
        </w:rPr>
        <w:t>(об’єктивно неможливо визначити кількість, даний показник не впливає на результативність регуляторного акта)</w:t>
      </w:r>
      <w:r>
        <w:rPr>
          <w:color w:val="000000"/>
          <w:lang w:val="uk-UA"/>
        </w:rPr>
        <w:t>;</w:t>
      </w:r>
    </w:p>
    <w:p w14:paraId="7D6E3E95">
      <w:pPr>
        <w:jc w:val="both"/>
      </w:pPr>
      <w:r>
        <w:rPr>
          <w:lang w:val="uk-UA"/>
        </w:rPr>
        <w:t xml:space="preserve">      - розмір коштів і час, що витрачаються суб’єктами господарювання та фізичними особами пов’язаними з виконанням вимог даного акта </w:t>
      </w:r>
      <w:r>
        <w:t xml:space="preserve">не становить більше граничного розміру пайової участі у розвитку інженерно-транспортної та соціальної інфраструктури населених пунктів, визначеного діючим законодавством України. </w:t>
      </w:r>
    </w:p>
    <w:p w14:paraId="3C22FC03">
      <w:pPr>
        <w:pStyle w:val="6"/>
        <w:ind w:left="0" w:firstLine="708"/>
        <w:jc w:val="both"/>
        <w:rPr>
          <w:color w:val="000000"/>
        </w:rPr>
      </w:pPr>
      <w:r>
        <w:rPr>
          <w:rStyle w:val="24"/>
        </w:rPr>
        <w:t xml:space="preserve">Рівень поінформованості суб'єктів господарювання та </w:t>
      </w:r>
      <w:r>
        <w:t>фізичних осіб</w:t>
      </w:r>
      <w:r>
        <w:rPr>
          <w:rStyle w:val="24"/>
        </w:rPr>
        <w:t xml:space="preserve"> з основних положень акта – високий. </w:t>
      </w:r>
      <w:r>
        <w:t xml:space="preserve">З цією метою регуляторний акт </w:t>
      </w:r>
      <w:r>
        <w:rPr>
          <w:color w:val="000000"/>
        </w:rPr>
        <w:t xml:space="preserve">оприлюднено на </w:t>
      </w:r>
      <w:r>
        <w:t xml:space="preserve">офіційний сторінці </w:t>
      </w:r>
      <w:r>
        <w:rPr>
          <w:lang w:val="uk-UA"/>
        </w:rPr>
        <w:t>Широківської сільської ради</w:t>
      </w:r>
      <w:r>
        <w:t xml:space="preserve"> мережі Інтернет за електронною адресою</w:t>
      </w:r>
      <w:r>
        <w:rPr>
          <w:color w:val="000000"/>
        </w:rPr>
        <w:t xml:space="preserve">: </w:t>
      </w:r>
      <w:r>
        <w:fldChar w:fldCharType="begin"/>
      </w:r>
      <w:r>
        <w:instrText xml:space="preserve"> HYPERLINK "http://shyroke.org.ua" </w:instrText>
      </w:r>
      <w:r>
        <w:fldChar w:fldCharType="separate"/>
      </w:r>
      <w:r>
        <w:rPr>
          <w:rStyle w:val="9"/>
          <w:spacing w:val="-4"/>
        </w:rPr>
        <w:t>http://</w:t>
      </w:r>
      <w:r>
        <w:rPr>
          <w:rStyle w:val="9"/>
          <w:spacing w:val="-4"/>
          <w:lang w:val="en-US"/>
        </w:rPr>
        <w:t>shyroke</w:t>
      </w:r>
      <w:r>
        <w:rPr>
          <w:rStyle w:val="9"/>
          <w:spacing w:val="-4"/>
        </w:rPr>
        <w:t>.</w:t>
      </w:r>
      <w:r>
        <w:rPr>
          <w:rStyle w:val="9"/>
          <w:spacing w:val="-4"/>
          <w:lang w:val="en-US"/>
        </w:rPr>
        <w:t>org</w:t>
      </w:r>
      <w:r>
        <w:rPr>
          <w:rStyle w:val="9"/>
          <w:spacing w:val="-4"/>
        </w:rPr>
        <w:t>.ua</w:t>
      </w:r>
      <w:r>
        <w:rPr>
          <w:rStyle w:val="9"/>
          <w:spacing w:val="-4"/>
        </w:rPr>
        <w:fldChar w:fldCharType="end"/>
      </w:r>
      <w:r>
        <w:rPr>
          <w:spacing w:val="-4"/>
          <w:u w:val="single"/>
        </w:rPr>
        <w:t>.</w:t>
      </w:r>
      <w:r>
        <w:rPr>
          <w:b/>
          <w:color w:val="000000"/>
        </w:rPr>
        <w:t xml:space="preserve"> </w:t>
      </w:r>
    </w:p>
    <w:p w14:paraId="612EC246">
      <w:pPr>
        <w:pStyle w:val="6"/>
        <w:ind w:left="0"/>
        <w:jc w:val="both"/>
        <w:rPr>
          <w:b/>
          <w:bCs/>
          <w:color w:val="000000"/>
        </w:rPr>
      </w:pPr>
      <w:r>
        <w:rPr>
          <w:b/>
          <w:bCs/>
          <w:color w:val="000000"/>
        </w:rPr>
        <w:t>9. Визначення заходів, за допомогою яких здійснюватиметься відстеження результативності дії регуляторного акта.</w:t>
      </w:r>
    </w:p>
    <w:p w14:paraId="6ECABE63">
      <w:pPr>
        <w:widowControl w:val="0"/>
        <w:jc w:val="both"/>
        <w:rPr>
          <w:b/>
          <w:bCs/>
          <w:color w:val="000000"/>
          <w:lang w:val="uk-UA"/>
        </w:rPr>
      </w:pPr>
    </w:p>
    <w:p w14:paraId="4B54AB61">
      <w:pPr>
        <w:shd w:val="clear" w:color="auto" w:fill="FFFFFF"/>
        <w:ind w:firstLine="708"/>
        <w:jc w:val="both"/>
        <w:rPr>
          <w:lang w:val="uk-UA"/>
        </w:rPr>
      </w:pPr>
      <w:r>
        <w:rPr>
          <w:lang w:val="uk-UA"/>
        </w:rPr>
        <w:t>Для відстеження результативності регуляторного акта буде використовуватись метод збору даних шляхом моніторингу кількості укладених договорів пайової участі та розміру надходжень до місцевого бюджету.</w:t>
      </w:r>
    </w:p>
    <w:p w14:paraId="1DEE025C">
      <w:pPr>
        <w:ind w:firstLine="708"/>
        <w:jc w:val="both"/>
      </w:pPr>
      <w:r>
        <w:t>Базове відстеження результативності регуляторного акта здійснюється до набрання його чинності.</w:t>
      </w:r>
    </w:p>
    <w:p w14:paraId="45C21040">
      <w:pPr>
        <w:widowControl w:val="0"/>
        <w:ind w:firstLine="708"/>
        <w:jc w:val="both"/>
      </w:pPr>
      <w:r>
        <w:t xml:space="preserve">Повторне відстеження буде здійснюватися через рік після набрання ним чинності. У разі виявлення неврегульованих та проблемних моментів шляхом аналізу якісних та кількісних показників дії цього акта, ці моменти буде виправлено шляхом внесення відповідних змін. </w:t>
      </w:r>
    </w:p>
    <w:p w14:paraId="3E3E56CB">
      <w:pPr>
        <w:ind w:firstLine="708"/>
        <w:jc w:val="both"/>
      </w:pPr>
      <w:r>
        <w:t>Періодичні відстеження результативності будуть здійснюватись раз на кожні три роки, починаючи від дня закінчення заходів з повторного відстеження результативності.</w:t>
      </w:r>
    </w:p>
    <w:p w14:paraId="68107D86">
      <w:pPr>
        <w:shd w:val="clear" w:color="auto" w:fill="FFFFFF"/>
        <w:ind w:firstLine="708"/>
        <w:jc w:val="both"/>
        <w:rPr>
          <w:bCs/>
          <w:color w:val="000000"/>
          <w:lang w:val="uk-UA"/>
        </w:rPr>
      </w:pPr>
      <w:r>
        <w:t xml:space="preserve">Зауваження та пропозиції від фізичних та юридичних осіб до цього проекту рішення можна надсилати до </w:t>
      </w:r>
      <w:r>
        <w:rPr>
          <w:lang w:val="uk-UA"/>
        </w:rPr>
        <w:t>25.11.2017</w:t>
      </w:r>
      <w:r>
        <w:t>р</w:t>
      </w:r>
      <w:r>
        <w:rPr>
          <w:lang w:val="uk-UA"/>
        </w:rPr>
        <w:t>.</w:t>
      </w:r>
      <w:r>
        <w:t xml:space="preserve"> Поштова та електронна адреса розробника проекту регуляторного акту, до якого надсилаються зауваження та пропозиції: </w:t>
      </w:r>
      <w:r>
        <w:rPr>
          <w:lang w:val="uk-UA"/>
        </w:rPr>
        <w:t>Широківська сільська рада Запорізького району Запорізької області</w:t>
      </w:r>
      <w:r>
        <w:t xml:space="preserve">, </w:t>
      </w:r>
      <w:r>
        <w:rPr>
          <w:lang w:val="uk-UA"/>
        </w:rPr>
        <w:t>69089, м. Запоріжжя, а/с 5586;</w:t>
      </w:r>
      <w:r>
        <w:t xml:space="preserve"> телефон (факс) +38 (061) 223-62-10; e-mail: </w:t>
      </w:r>
      <w:r>
        <w:fldChar w:fldCharType="begin"/>
      </w:r>
      <w:r>
        <w:instrText xml:space="preserve"> HYPERLINK "mailto:shyroke.otg@gmail.com" </w:instrText>
      </w:r>
      <w:r>
        <w:fldChar w:fldCharType="separate"/>
      </w:r>
      <w:r>
        <w:rPr>
          <w:rStyle w:val="9"/>
          <w:lang w:val="en-US"/>
        </w:rPr>
        <w:t>shyroke</w:t>
      </w:r>
      <w:r>
        <w:rPr>
          <w:rStyle w:val="9"/>
        </w:rPr>
        <w:t>.</w:t>
      </w:r>
      <w:r>
        <w:rPr>
          <w:rStyle w:val="9"/>
          <w:lang w:val="en-US"/>
        </w:rPr>
        <w:t>otg</w:t>
      </w:r>
      <w:r>
        <w:rPr>
          <w:rStyle w:val="9"/>
        </w:rPr>
        <w:t>@</w:t>
      </w:r>
      <w:r>
        <w:rPr>
          <w:rStyle w:val="9"/>
          <w:lang w:val="en-US"/>
        </w:rPr>
        <w:t>gmail</w:t>
      </w:r>
      <w:r>
        <w:rPr>
          <w:rStyle w:val="9"/>
        </w:rPr>
        <w:t>.</w:t>
      </w:r>
      <w:r>
        <w:rPr>
          <w:rStyle w:val="9"/>
          <w:lang w:val="en-US"/>
        </w:rPr>
        <w:t>com</w:t>
      </w:r>
      <w:r>
        <w:rPr>
          <w:rStyle w:val="9"/>
          <w:lang w:val="en-US"/>
        </w:rPr>
        <w:fldChar w:fldCharType="end"/>
      </w:r>
      <w:r>
        <w:rPr>
          <w:bCs/>
          <w:color w:val="000000"/>
        </w:rPr>
        <w:t>.</w:t>
      </w:r>
    </w:p>
    <w:p w14:paraId="61739584">
      <w:pPr>
        <w:shd w:val="clear" w:color="auto" w:fill="FFFFFF"/>
        <w:ind w:firstLine="360"/>
        <w:jc w:val="both"/>
        <w:rPr>
          <w:bCs/>
          <w:color w:val="000000"/>
          <w:lang w:val="uk-UA"/>
        </w:rPr>
      </w:pPr>
    </w:p>
    <w:p w14:paraId="71F742DA">
      <w:pPr>
        <w:ind w:left="450" w:right="450"/>
        <w:jc w:val="center"/>
        <w:textAlignment w:val="baseline"/>
        <w:rPr>
          <w:spacing w:val="-2"/>
          <w:lang w:val="uk-UA"/>
        </w:rPr>
      </w:pPr>
    </w:p>
    <w:p w14:paraId="3DAF739C">
      <w:pPr>
        <w:ind w:left="450" w:right="450"/>
        <w:jc w:val="center"/>
        <w:textAlignment w:val="baseline"/>
        <w:rPr>
          <w:spacing w:val="-2"/>
          <w:lang w:val="uk-UA"/>
        </w:rPr>
      </w:pPr>
    </w:p>
    <w:p w14:paraId="646C62D1">
      <w:pPr>
        <w:ind w:left="450" w:right="450"/>
        <w:jc w:val="center"/>
        <w:textAlignment w:val="baseline"/>
        <w:rPr>
          <w:spacing w:val="-2"/>
          <w:lang w:val="uk-UA"/>
        </w:rPr>
      </w:pPr>
    </w:p>
    <w:p w14:paraId="7CFA1676">
      <w:pPr>
        <w:ind w:left="450" w:right="450"/>
        <w:jc w:val="center"/>
        <w:textAlignment w:val="baseline"/>
        <w:rPr>
          <w:spacing w:val="-2"/>
          <w:lang w:val="uk-UA"/>
        </w:rPr>
      </w:pPr>
    </w:p>
    <w:p w14:paraId="7CE2F378">
      <w:pPr>
        <w:ind w:left="450" w:right="450"/>
        <w:jc w:val="center"/>
        <w:textAlignment w:val="baseline"/>
        <w:rPr>
          <w:spacing w:val="-2"/>
          <w:lang w:val="uk-UA"/>
        </w:rPr>
      </w:pPr>
    </w:p>
    <w:p w14:paraId="06361D79">
      <w:pPr>
        <w:ind w:left="450" w:right="450"/>
        <w:jc w:val="center"/>
        <w:textAlignment w:val="baseline"/>
        <w:rPr>
          <w:spacing w:val="-2"/>
          <w:lang w:val="uk-UA"/>
        </w:rPr>
      </w:pPr>
    </w:p>
    <w:p w14:paraId="1F2359EF">
      <w:pPr>
        <w:ind w:left="450" w:right="450"/>
        <w:jc w:val="center"/>
        <w:textAlignment w:val="baseline"/>
        <w:rPr>
          <w:spacing w:val="-2"/>
          <w:lang w:val="uk-UA"/>
        </w:rPr>
      </w:pPr>
    </w:p>
    <w:p w14:paraId="6B5AE176">
      <w:pPr>
        <w:ind w:left="450" w:right="450"/>
        <w:jc w:val="center"/>
        <w:textAlignment w:val="baseline"/>
        <w:rPr>
          <w:spacing w:val="-2"/>
          <w:lang w:val="uk-UA"/>
        </w:rPr>
      </w:pPr>
    </w:p>
    <w:p w14:paraId="74CFBAF2">
      <w:pPr>
        <w:ind w:left="450" w:right="450"/>
        <w:jc w:val="center"/>
        <w:textAlignment w:val="baseline"/>
        <w:rPr>
          <w:spacing w:val="-2"/>
          <w:lang w:val="uk-UA"/>
        </w:rPr>
      </w:pPr>
    </w:p>
    <w:p w14:paraId="7A0CE547">
      <w:pPr>
        <w:ind w:left="450" w:right="450"/>
        <w:jc w:val="center"/>
        <w:textAlignment w:val="baseline"/>
        <w:rPr>
          <w:spacing w:val="-2"/>
          <w:lang w:val="uk-UA"/>
        </w:rPr>
      </w:pPr>
    </w:p>
    <w:p w14:paraId="11F45022">
      <w:pPr>
        <w:ind w:left="450" w:right="450"/>
        <w:jc w:val="center"/>
        <w:textAlignment w:val="baseline"/>
        <w:rPr>
          <w:spacing w:val="-2"/>
          <w:lang w:val="uk-UA"/>
        </w:rPr>
      </w:pPr>
    </w:p>
    <w:p w14:paraId="2A6B6706">
      <w:pPr>
        <w:ind w:left="450" w:right="450"/>
        <w:jc w:val="center"/>
        <w:textAlignment w:val="baseline"/>
        <w:rPr>
          <w:spacing w:val="-2"/>
          <w:lang w:val="uk-UA"/>
        </w:rPr>
      </w:pPr>
    </w:p>
    <w:p w14:paraId="5AD90C39">
      <w:pPr>
        <w:ind w:left="450" w:right="450"/>
        <w:jc w:val="center"/>
        <w:textAlignment w:val="baseline"/>
        <w:rPr>
          <w:spacing w:val="-2"/>
          <w:lang w:val="uk-UA"/>
        </w:rPr>
      </w:pPr>
    </w:p>
    <w:p w14:paraId="629101CB">
      <w:pPr>
        <w:ind w:left="450" w:right="450"/>
        <w:jc w:val="center"/>
        <w:textAlignment w:val="baseline"/>
        <w:rPr>
          <w:spacing w:val="-2"/>
          <w:lang w:val="uk-UA"/>
        </w:rPr>
      </w:pPr>
    </w:p>
    <w:p w14:paraId="4090FAFA">
      <w:pPr>
        <w:ind w:left="450" w:right="450"/>
        <w:jc w:val="center"/>
        <w:textAlignment w:val="baseline"/>
        <w:rPr>
          <w:spacing w:val="-2"/>
          <w:lang w:val="uk-UA"/>
        </w:rPr>
      </w:pPr>
    </w:p>
    <w:p w14:paraId="4B8A158C">
      <w:pPr>
        <w:ind w:left="450" w:right="450"/>
        <w:jc w:val="center"/>
        <w:textAlignment w:val="baseline"/>
        <w:rPr>
          <w:spacing w:val="-2"/>
          <w:lang w:val="uk-UA"/>
        </w:rPr>
      </w:pPr>
    </w:p>
    <w:p w14:paraId="374554FC">
      <w:pPr>
        <w:ind w:left="450" w:right="450"/>
        <w:jc w:val="center"/>
        <w:textAlignment w:val="baseline"/>
        <w:rPr>
          <w:spacing w:val="-2"/>
          <w:lang w:val="uk-UA"/>
        </w:rPr>
      </w:pPr>
    </w:p>
    <w:p w14:paraId="5C987DBF">
      <w:pPr>
        <w:ind w:left="450" w:right="450"/>
        <w:jc w:val="center"/>
        <w:textAlignment w:val="baseline"/>
        <w:rPr>
          <w:spacing w:val="-2"/>
          <w:lang w:val="uk-UA"/>
        </w:rPr>
      </w:pPr>
    </w:p>
    <w:p w14:paraId="0FEC963F">
      <w:pPr>
        <w:ind w:left="450" w:right="450"/>
        <w:jc w:val="center"/>
        <w:textAlignment w:val="baseline"/>
        <w:rPr>
          <w:spacing w:val="-2"/>
          <w:lang w:val="uk-UA"/>
        </w:rPr>
      </w:pPr>
    </w:p>
    <w:p w14:paraId="06025922">
      <w:pPr>
        <w:ind w:left="450" w:right="450"/>
        <w:jc w:val="center"/>
        <w:textAlignment w:val="baseline"/>
        <w:rPr>
          <w:spacing w:val="-2"/>
          <w:lang w:val="uk-UA"/>
        </w:rPr>
      </w:pPr>
    </w:p>
    <w:p w14:paraId="1401B55E">
      <w:pPr>
        <w:ind w:left="450" w:right="450"/>
        <w:jc w:val="center"/>
        <w:textAlignment w:val="baseline"/>
        <w:rPr>
          <w:spacing w:val="-2"/>
          <w:lang w:val="uk-UA"/>
        </w:rPr>
      </w:pPr>
    </w:p>
    <w:p w14:paraId="49E3ED9B">
      <w:pPr>
        <w:ind w:left="450" w:right="450"/>
        <w:jc w:val="center"/>
        <w:textAlignment w:val="baseline"/>
        <w:rPr>
          <w:spacing w:val="-2"/>
          <w:lang w:val="uk-UA"/>
        </w:rPr>
      </w:pPr>
    </w:p>
    <w:p w14:paraId="141F0624">
      <w:pPr>
        <w:ind w:left="450" w:right="450"/>
        <w:jc w:val="center"/>
        <w:textAlignment w:val="baseline"/>
        <w:rPr>
          <w:lang w:val="uk-UA"/>
        </w:rPr>
      </w:pPr>
      <w:bookmarkStart w:id="1" w:name="_GoBack"/>
      <w:bookmarkEnd w:id="1"/>
      <w:r>
        <w:rPr>
          <w:spacing w:val="-2"/>
          <w:lang w:val="uk-UA"/>
        </w:rPr>
        <w:t xml:space="preserve">        </w:t>
      </w:r>
      <w:r>
        <w:rPr>
          <w:b/>
          <w:bCs/>
          <w:lang w:val="uk-UA"/>
        </w:rPr>
        <w:t>ТЕСТ</w:t>
      </w:r>
      <w:r>
        <w:rPr>
          <w:b/>
          <w:bCs/>
        </w:rPr>
        <w:t> </w:t>
      </w:r>
      <w:r>
        <w:rPr>
          <w:lang w:val="uk-UA"/>
        </w:rPr>
        <w:br w:type="textWrapping"/>
      </w:r>
      <w:r>
        <w:rPr>
          <w:b/>
          <w:bCs/>
          <w:lang w:val="uk-UA"/>
        </w:rPr>
        <w:t>малого підприємництва (М-Тест)</w:t>
      </w:r>
    </w:p>
    <w:p w14:paraId="1067C820">
      <w:pPr>
        <w:ind w:firstLine="450"/>
        <w:jc w:val="both"/>
        <w:textAlignment w:val="baseline"/>
        <w:rPr>
          <w:lang w:val="uk-UA" w:eastAsia="uk-UA"/>
        </w:rPr>
      </w:pPr>
      <w:r>
        <w:rPr>
          <w:lang w:val="uk-UA" w:eastAsia="uk-UA"/>
        </w:rPr>
        <w:t>1. Консультації з представниками малого підприємництва щодо оцінки впливу регулювання.</w:t>
      </w:r>
    </w:p>
    <w:p w14:paraId="1929698B">
      <w:pPr>
        <w:ind w:firstLine="450"/>
        <w:jc w:val="both"/>
        <w:textAlignment w:val="baseline"/>
        <w:rPr>
          <w:lang w:val="uk-UA" w:eastAsia="uk-UA"/>
        </w:rPr>
      </w:pPr>
      <w:r>
        <w:rPr>
          <w:lang w:val="uk-UA" w:eastAsia="uk-UA"/>
        </w:rPr>
        <w:t>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з 22 січня 2018 р. по                26 січня 2018 р.</w:t>
      </w:r>
    </w:p>
    <w:tbl>
      <w:tblPr>
        <w:tblStyle w:val="3"/>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25"/>
        <w:gridCol w:w="3728"/>
        <w:gridCol w:w="1815"/>
        <w:gridCol w:w="2377"/>
      </w:tblGrid>
      <w:tr w14:paraId="7B94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1" w:type="pct"/>
            <w:tcBorders>
              <w:top w:val="single" w:color="auto" w:sz="4" w:space="0"/>
              <w:left w:val="single" w:color="auto" w:sz="4" w:space="0"/>
              <w:bottom w:val="single" w:color="auto" w:sz="4" w:space="0"/>
              <w:right w:val="single" w:color="auto" w:sz="4" w:space="0"/>
            </w:tcBorders>
          </w:tcPr>
          <w:p w14:paraId="1BE1D498">
            <w:pPr>
              <w:spacing w:before="150" w:after="150"/>
              <w:jc w:val="center"/>
              <w:textAlignment w:val="baseline"/>
              <w:rPr>
                <w:lang w:val="uk-UA"/>
              </w:rPr>
            </w:pPr>
            <w:r>
              <w:rPr>
                <w:lang w:val="uk-UA"/>
              </w:rPr>
              <w:t>Порядковий номер</w:t>
            </w:r>
          </w:p>
        </w:tc>
        <w:tc>
          <w:tcPr>
            <w:tcW w:w="1953" w:type="pct"/>
            <w:tcBorders>
              <w:top w:val="single" w:color="auto" w:sz="4" w:space="0"/>
              <w:left w:val="single" w:color="auto" w:sz="4" w:space="0"/>
              <w:bottom w:val="single" w:color="auto" w:sz="4" w:space="0"/>
              <w:right w:val="single" w:color="auto" w:sz="4" w:space="0"/>
            </w:tcBorders>
          </w:tcPr>
          <w:p w14:paraId="54106317">
            <w:pPr>
              <w:spacing w:before="150" w:after="150"/>
              <w:jc w:val="center"/>
              <w:textAlignment w:val="baseline"/>
              <w:rPr>
                <w:lang w:val="uk-UA"/>
              </w:rPr>
            </w:pPr>
            <w:r>
              <w:rPr>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951" w:type="pct"/>
            <w:tcBorders>
              <w:top w:val="single" w:color="auto" w:sz="4" w:space="0"/>
              <w:left w:val="single" w:color="auto" w:sz="4" w:space="0"/>
              <w:bottom w:val="single" w:color="auto" w:sz="4" w:space="0"/>
              <w:right w:val="single" w:color="auto" w:sz="4" w:space="0"/>
            </w:tcBorders>
          </w:tcPr>
          <w:p w14:paraId="2E1E525B">
            <w:pPr>
              <w:spacing w:before="150" w:after="150"/>
              <w:jc w:val="center"/>
              <w:textAlignment w:val="baseline"/>
              <w:rPr>
                <w:lang w:val="uk-UA"/>
              </w:rPr>
            </w:pPr>
            <w:r>
              <w:rPr>
                <w:lang w:val="uk-UA"/>
              </w:rPr>
              <w:t>Кількість учасників консультацій, осіб</w:t>
            </w:r>
          </w:p>
        </w:tc>
        <w:tc>
          <w:tcPr>
            <w:tcW w:w="1245" w:type="pct"/>
            <w:tcBorders>
              <w:top w:val="single" w:color="auto" w:sz="4" w:space="0"/>
              <w:left w:val="single" w:color="auto" w:sz="4" w:space="0"/>
              <w:bottom w:val="single" w:color="auto" w:sz="4" w:space="0"/>
              <w:right w:val="single" w:color="auto" w:sz="4" w:space="0"/>
            </w:tcBorders>
          </w:tcPr>
          <w:p w14:paraId="22D40526">
            <w:pPr>
              <w:spacing w:before="150" w:after="150"/>
              <w:jc w:val="center"/>
              <w:textAlignment w:val="baseline"/>
              <w:rPr>
                <w:lang w:val="uk-UA"/>
              </w:rPr>
            </w:pPr>
            <w:r>
              <w:rPr>
                <w:lang w:val="uk-UA"/>
              </w:rPr>
              <w:t>Основні результати консультацій (опис)</w:t>
            </w:r>
          </w:p>
        </w:tc>
      </w:tr>
      <w:tr w14:paraId="335F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1" w:type="pct"/>
            <w:tcBorders>
              <w:top w:val="single" w:color="auto" w:sz="4" w:space="0"/>
              <w:left w:val="single" w:color="auto" w:sz="4" w:space="0"/>
              <w:bottom w:val="single" w:color="auto" w:sz="4" w:space="0"/>
              <w:right w:val="single" w:color="auto" w:sz="4" w:space="0"/>
            </w:tcBorders>
          </w:tcPr>
          <w:p w14:paraId="7DD71BA8">
            <w:pPr>
              <w:spacing w:before="150" w:after="150"/>
              <w:jc w:val="center"/>
              <w:textAlignment w:val="baseline"/>
              <w:rPr>
                <w:lang w:val="uk-UA"/>
              </w:rPr>
            </w:pPr>
            <w:r>
              <w:rPr>
                <w:lang w:val="uk-UA"/>
              </w:rPr>
              <w:t>1.</w:t>
            </w:r>
          </w:p>
          <w:p w14:paraId="17956FC9">
            <w:pPr>
              <w:spacing w:before="150" w:after="150"/>
              <w:jc w:val="center"/>
              <w:textAlignment w:val="baseline"/>
              <w:rPr>
                <w:lang w:val="uk-UA"/>
              </w:rPr>
            </w:pPr>
          </w:p>
          <w:p w14:paraId="67A54DC7">
            <w:pPr>
              <w:spacing w:before="150" w:after="150"/>
              <w:jc w:val="center"/>
              <w:textAlignment w:val="baseline"/>
              <w:rPr>
                <w:lang w:val="uk-UA"/>
              </w:rPr>
            </w:pPr>
          </w:p>
        </w:tc>
        <w:tc>
          <w:tcPr>
            <w:tcW w:w="1953" w:type="pct"/>
            <w:tcBorders>
              <w:top w:val="single" w:color="auto" w:sz="4" w:space="0"/>
              <w:left w:val="single" w:color="auto" w:sz="4" w:space="0"/>
              <w:bottom w:val="single" w:color="auto" w:sz="4" w:space="0"/>
              <w:right w:val="single" w:color="auto" w:sz="4" w:space="0"/>
            </w:tcBorders>
          </w:tcPr>
          <w:p w14:paraId="238C2D01">
            <w:pPr>
              <w:spacing w:before="150" w:after="150"/>
              <w:jc w:val="center"/>
              <w:textAlignment w:val="baseline"/>
              <w:rPr>
                <w:lang w:val="uk-UA"/>
              </w:rPr>
            </w:pPr>
            <w:r>
              <w:rPr>
                <w:lang w:val="uk-UA"/>
              </w:rPr>
              <w:t xml:space="preserve">Телефонні розмови із замовниками будівництва  </w:t>
            </w:r>
          </w:p>
          <w:p w14:paraId="75C5D591">
            <w:pPr>
              <w:spacing w:before="150" w:after="150"/>
              <w:jc w:val="center"/>
              <w:textAlignment w:val="baseline"/>
              <w:rPr>
                <w:lang w:val="uk-UA"/>
              </w:rPr>
            </w:pPr>
          </w:p>
        </w:tc>
        <w:tc>
          <w:tcPr>
            <w:tcW w:w="951" w:type="pct"/>
            <w:tcBorders>
              <w:top w:val="single" w:color="auto" w:sz="4" w:space="0"/>
              <w:left w:val="single" w:color="auto" w:sz="4" w:space="0"/>
              <w:bottom w:val="single" w:color="auto" w:sz="4" w:space="0"/>
              <w:right w:val="single" w:color="auto" w:sz="4" w:space="0"/>
            </w:tcBorders>
          </w:tcPr>
          <w:p w14:paraId="407935D4">
            <w:pPr>
              <w:spacing w:before="150" w:after="150"/>
              <w:jc w:val="center"/>
              <w:textAlignment w:val="baseline"/>
              <w:rPr>
                <w:lang w:val="uk-UA"/>
              </w:rPr>
            </w:pPr>
            <w:r>
              <w:rPr>
                <w:lang w:val="uk-UA"/>
              </w:rPr>
              <w:t>4</w:t>
            </w:r>
          </w:p>
          <w:p w14:paraId="5699066D">
            <w:pPr>
              <w:spacing w:before="150" w:after="150"/>
              <w:jc w:val="center"/>
              <w:textAlignment w:val="baseline"/>
              <w:rPr>
                <w:lang w:val="uk-UA"/>
              </w:rPr>
            </w:pPr>
          </w:p>
          <w:p w14:paraId="6201983C">
            <w:pPr>
              <w:spacing w:before="150" w:after="150"/>
              <w:jc w:val="center"/>
              <w:textAlignment w:val="baseline"/>
              <w:rPr>
                <w:lang w:val="uk-UA"/>
              </w:rPr>
            </w:pPr>
          </w:p>
        </w:tc>
        <w:tc>
          <w:tcPr>
            <w:tcW w:w="1245" w:type="pct"/>
            <w:tcBorders>
              <w:top w:val="single" w:color="auto" w:sz="4" w:space="0"/>
              <w:left w:val="single" w:color="auto" w:sz="4" w:space="0"/>
              <w:bottom w:val="single" w:color="auto" w:sz="4" w:space="0"/>
              <w:right w:val="single" w:color="auto" w:sz="4" w:space="0"/>
            </w:tcBorders>
          </w:tcPr>
          <w:p w14:paraId="75AB18D2">
            <w:pPr>
              <w:spacing w:before="150" w:after="150"/>
              <w:textAlignment w:val="baseline"/>
              <w:rPr>
                <w:lang w:val="uk-UA"/>
              </w:rPr>
            </w:pPr>
            <w:r>
              <w:rPr>
                <w:lang w:val="uk-UA"/>
              </w:rPr>
              <w:t xml:space="preserve">Доведення до відома опитуваних обґрунтування необхідності прийняття зазначеного проекту регуляторного акту та </w:t>
            </w:r>
            <w:r>
              <w:t>інформації про дотримання вимог чинного законодавства щодо обов’язковості укладання договору про участь у створенні і розвитку  інженерно-транспортної та соціальної інфраструктури міста</w:t>
            </w:r>
          </w:p>
        </w:tc>
      </w:tr>
    </w:tbl>
    <w:p w14:paraId="3CFF8FC7">
      <w:pPr>
        <w:jc w:val="both"/>
        <w:textAlignment w:val="baseline"/>
        <w:rPr>
          <w:lang w:val="uk-UA" w:eastAsia="uk-UA"/>
        </w:rPr>
      </w:pPr>
    </w:p>
    <w:p w14:paraId="1C41AC10">
      <w:pPr>
        <w:jc w:val="both"/>
        <w:textAlignment w:val="baseline"/>
        <w:rPr>
          <w:lang w:val="uk-UA" w:eastAsia="uk-UA"/>
        </w:rPr>
      </w:pPr>
      <w:r>
        <w:rPr>
          <w:lang w:val="uk-UA" w:eastAsia="uk-UA"/>
        </w:rPr>
        <w:t>2. Вимірювання впливу регулювання на суб’єктів малого підприємництва:</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8"/>
        <w:gridCol w:w="1901"/>
        <w:gridCol w:w="1981"/>
        <w:gridCol w:w="1981"/>
      </w:tblGrid>
      <w:tr w14:paraId="3386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229" w:type="dxa"/>
            <w:tcBorders>
              <w:top w:val="single" w:color="auto" w:sz="4" w:space="0"/>
              <w:left w:val="single" w:color="auto" w:sz="4" w:space="0"/>
              <w:bottom w:val="single" w:color="auto" w:sz="4" w:space="0"/>
              <w:right w:val="single" w:color="auto" w:sz="4" w:space="0"/>
            </w:tcBorders>
            <w:vAlign w:val="center"/>
          </w:tcPr>
          <w:p w14:paraId="521B6E57">
            <w:pPr>
              <w:spacing w:after="200" w:line="276" w:lineRule="auto"/>
              <w:jc w:val="center"/>
              <w:rPr>
                <w:lang w:val="uk-UA" w:eastAsia="uk-UA"/>
              </w:rPr>
            </w:pPr>
            <w:r>
              <w:rPr>
                <w:lang w:val="uk-UA" w:eastAsia="uk-UA"/>
              </w:rPr>
              <w:t>Показник</w:t>
            </w:r>
          </w:p>
        </w:tc>
        <w:tc>
          <w:tcPr>
            <w:tcW w:w="2014" w:type="dxa"/>
            <w:tcBorders>
              <w:top w:val="single" w:color="auto" w:sz="4" w:space="0"/>
              <w:left w:val="single" w:color="auto" w:sz="4" w:space="0"/>
              <w:bottom w:val="single" w:color="auto" w:sz="4" w:space="0"/>
              <w:right w:val="single" w:color="auto" w:sz="4" w:space="0"/>
            </w:tcBorders>
            <w:vAlign w:val="center"/>
          </w:tcPr>
          <w:p w14:paraId="352B1347">
            <w:pPr>
              <w:spacing w:after="200" w:line="276" w:lineRule="auto"/>
              <w:jc w:val="center"/>
              <w:rPr>
                <w:lang w:val="uk-UA" w:eastAsia="uk-UA"/>
              </w:rPr>
            </w:pPr>
            <w:r>
              <w:rPr>
                <w:lang w:val="uk-UA" w:eastAsia="uk-UA"/>
              </w:rPr>
              <w:t>Кількість суб’єктів малого підприємництва на яких поширюється регулювання</w:t>
            </w:r>
          </w:p>
          <w:p w14:paraId="378C9B38">
            <w:pPr>
              <w:spacing w:after="200" w:line="276" w:lineRule="auto"/>
              <w:jc w:val="center"/>
              <w:rPr>
                <w:lang w:val="uk-UA" w:eastAsia="uk-UA"/>
              </w:rPr>
            </w:pPr>
            <w:r>
              <w:rPr>
                <w:lang w:val="uk-UA" w:eastAsia="uk-UA"/>
              </w:rPr>
              <w:t>(одиниць)</w:t>
            </w:r>
          </w:p>
        </w:tc>
        <w:tc>
          <w:tcPr>
            <w:tcW w:w="2014" w:type="dxa"/>
            <w:tcBorders>
              <w:top w:val="single" w:color="auto" w:sz="4" w:space="0"/>
              <w:left w:val="single" w:color="auto" w:sz="4" w:space="0"/>
              <w:bottom w:val="single" w:color="auto" w:sz="4" w:space="0"/>
              <w:right w:val="single" w:color="auto" w:sz="4" w:space="0"/>
            </w:tcBorders>
            <w:vAlign w:val="center"/>
          </w:tcPr>
          <w:p w14:paraId="078B4E86">
            <w:pPr>
              <w:spacing w:after="200" w:line="276" w:lineRule="auto"/>
              <w:jc w:val="center"/>
              <w:rPr>
                <w:lang w:val="uk-UA" w:eastAsia="uk-UA"/>
              </w:rPr>
            </w:pPr>
            <w:r>
              <w:rPr>
                <w:lang w:val="uk-UA" w:eastAsia="uk-UA"/>
              </w:rPr>
              <w:t>У тому числі малого підприємництва</w:t>
            </w:r>
          </w:p>
          <w:p w14:paraId="75622781">
            <w:pPr>
              <w:spacing w:after="200" w:line="276" w:lineRule="auto"/>
              <w:jc w:val="center"/>
              <w:rPr>
                <w:lang w:val="uk-UA" w:eastAsia="uk-UA"/>
              </w:rPr>
            </w:pPr>
            <w:r>
              <w:rPr>
                <w:lang w:val="uk-UA" w:eastAsia="uk-UA"/>
              </w:rPr>
              <w:t>(одиниць)</w:t>
            </w:r>
          </w:p>
        </w:tc>
        <w:tc>
          <w:tcPr>
            <w:tcW w:w="2014" w:type="dxa"/>
            <w:tcBorders>
              <w:top w:val="single" w:color="auto" w:sz="4" w:space="0"/>
              <w:left w:val="single" w:color="auto" w:sz="4" w:space="0"/>
              <w:bottom w:val="single" w:color="auto" w:sz="4" w:space="0"/>
              <w:right w:val="single" w:color="auto" w:sz="4" w:space="0"/>
            </w:tcBorders>
            <w:vAlign w:val="center"/>
          </w:tcPr>
          <w:p w14:paraId="178AF9B1">
            <w:pPr>
              <w:spacing w:after="200" w:line="276" w:lineRule="auto"/>
              <w:jc w:val="center"/>
              <w:rPr>
                <w:lang w:val="uk-UA" w:eastAsia="uk-UA"/>
              </w:rPr>
            </w:pPr>
            <w:r>
              <w:rPr>
                <w:lang w:val="uk-UA" w:eastAsia="uk-UA"/>
              </w:rPr>
              <w:t>У тому числі мікро- підприємництва</w:t>
            </w:r>
          </w:p>
          <w:p w14:paraId="2E55C6D4">
            <w:pPr>
              <w:spacing w:after="200" w:line="276" w:lineRule="auto"/>
              <w:jc w:val="center"/>
              <w:rPr>
                <w:lang w:val="uk-UA" w:eastAsia="uk-UA"/>
              </w:rPr>
            </w:pPr>
            <w:r>
              <w:rPr>
                <w:lang w:val="uk-UA" w:eastAsia="uk-UA"/>
              </w:rPr>
              <w:t>(одиниць)</w:t>
            </w:r>
          </w:p>
        </w:tc>
      </w:tr>
      <w:tr w14:paraId="21A2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229" w:type="dxa"/>
            <w:tcBorders>
              <w:top w:val="single" w:color="auto" w:sz="4" w:space="0"/>
              <w:left w:val="single" w:color="auto" w:sz="4" w:space="0"/>
              <w:bottom w:val="single" w:color="auto" w:sz="4" w:space="0"/>
              <w:right w:val="single" w:color="auto" w:sz="4" w:space="0"/>
            </w:tcBorders>
          </w:tcPr>
          <w:p w14:paraId="32D44A66">
            <w:pPr>
              <w:spacing w:after="200" w:line="276" w:lineRule="auto"/>
              <w:rPr>
                <w:b/>
                <w:lang w:val="uk-UA" w:eastAsia="uk-UA"/>
              </w:rPr>
            </w:pPr>
            <w:r>
              <w:rPr>
                <w:b/>
                <w:lang w:val="uk-UA" w:eastAsia="uk-UA"/>
              </w:rPr>
              <w:t>Кількість суб’єктів господарювання, що підпадають під дію регулювання:</w:t>
            </w:r>
          </w:p>
          <w:p w14:paraId="12B7EFD1">
            <w:pPr>
              <w:spacing w:after="200" w:line="276" w:lineRule="auto"/>
              <w:rPr>
                <w:lang w:val="uk-UA" w:eastAsia="uk-UA"/>
              </w:rPr>
            </w:pPr>
          </w:p>
        </w:tc>
        <w:tc>
          <w:tcPr>
            <w:tcW w:w="2014" w:type="dxa"/>
            <w:tcBorders>
              <w:top w:val="single" w:color="auto" w:sz="4" w:space="0"/>
              <w:left w:val="single" w:color="auto" w:sz="4" w:space="0"/>
              <w:bottom w:val="single" w:color="auto" w:sz="4" w:space="0"/>
              <w:right w:val="single" w:color="auto" w:sz="4" w:space="0"/>
            </w:tcBorders>
          </w:tcPr>
          <w:p w14:paraId="77402104">
            <w:pPr>
              <w:spacing w:after="200" w:line="276" w:lineRule="auto"/>
              <w:jc w:val="center"/>
              <w:rPr>
                <w:lang w:val="uk-UA" w:eastAsia="uk-UA"/>
              </w:rPr>
            </w:pPr>
            <w:r>
              <w:rPr>
                <w:lang w:val="uk-UA" w:eastAsia="uk-UA"/>
              </w:rPr>
              <w:t>5</w:t>
            </w:r>
          </w:p>
        </w:tc>
        <w:tc>
          <w:tcPr>
            <w:tcW w:w="2014" w:type="dxa"/>
            <w:tcBorders>
              <w:top w:val="single" w:color="auto" w:sz="4" w:space="0"/>
              <w:left w:val="single" w:color="auto" w:sz="4" w:space="0"/>
              <w:bottom w:val="single" w:color="auto" w:sz="4" w:space="0"/>
              <w:right w:val="single" w:color="auto" w:sz="4" w:space="0"/>
            </w:tcBorders>
          </w:tcPr>
          <w:p w14:paraId="489B2F70">
            <w:pPr>
              <w:spacing w:after="200" w:line="276" w:lineRule="auto"/>
              <w:jc w:val="center"/>
              <w:rPr>
                <w:lang w:val="uk-UA" w:eastAsia="uk-UA"/>
              </w:rPr>
            </w:pPr>
            <w:r>
              <w:rPr>
                <w:lang w:val="uk-UA" w:eastAsia="uk-UA"/>
              </w:rPr>
              <w:t>-</w:t>
            </w:r>
          </w:p>
        </w:tc>
        <w:tc>
          <w:tcPr>
            <w:tcW w:w="2014" w:type="dxa"/>
            <w:tcBorders>
              <w:top w:val="single" w:color="auto" w:sz="4" w:space="0"/>
              <w:left w:val="single" w:color="auto" w:sz="4" w:space="0"/>
              <w:bottom w:val="single" w:color="auto" w:sz="4" w:space="0"/>
              <w:right w:val="single" w:color="auto" w:sz="4" w:space="0"/>
            </w:tcBorders>
          </w:tcPr>
          <w:p w14:paraId="3D651723">
            <w:pPr>
              <w:spacing w:after="200" w:line="276" w:lineRule="auto"/>
              <w:jc w:val="center"/>
              <w:rPr>
                <w:lang w:val="uk-UA" w:eastAsia="uk-UA"/>
              </w:rPr>
            </w:pPr>
            <w:r>
              <w:rPr>
                <w:lang w:val="uk-UA" w:eastAsia="uk-UA"/>
              </w:rPr>
              <w:t>1</w:t>
            </w:r>
          </w:p>
        </w:tc>
      </w:tr>
    </w:tbl>
    <w:p w14:paraId="33852AD0">
      <w:pPr>
        <w:spacing w:after="200" w:line="276" w:lineRule="auto"/>
        <w:rPr>
          <w:b/>
          <w:lang w:val="uk-UA" w:eastAsia="uk-UA"/>
        </w:rPr>
      </w:pPr>
    </w:p>
    <w:p w14:paraId="1AE5C5FF">
      <w:pPr>
        <w:ind w:firstLine="450"/>
        <w:jc w:val="both"/>
        <w:textAlignment w:val="baseline"/>
        <w:rPr>
          <w:lang w:val="uk-UA" w:eastAsia="uk-UA"/>
        </w:rPr>
      </w:pPr>
      <w:r>
        <w:rPr>
          <w:b/>
          <w:lang w:val="uk-UA" w:eastAsia="uk-UA"/>
        </w:rPr>
        <w:t xml:space="preserve">Питома вага суб’єктів малого підприємництва у загальній кількості суб’єктів господарювання на яких проблема справляє вплив,  відсотків </w:t>
      </w:r>
      <w:r>
        <w:rPr>
          <w:lang w:val="uk-UA" w:eastAsia="uk-UA"/>
        </w:rPr>
        <w:t xml:space="preserve">(відповідно до таблиці «Оцінка впливу на сферу інтересів суб’єктів господарювання») </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5"/>
        <w:gridCol w:w="1985"/>
        <w:gridCol w:w="1985"/>
        <w:gridCol w:w="1986"/>
      </w:tblGrid>
      <w:tr w14:paraId="42E0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4229" w:type="dxa"/>
            <w:tcBorders>
              <w:top w:val="single" w:color="auto" w:sz="4" w:space="0"/>
              <w:left w:val="single" w:color="auto" w:sz="4" w:space="0"/>
              <w:bottom w:val="single" w:color="auto" w:sz="4" w:space="0"/>
              <w:right w:val="single" w:color="auto" w:sz="4" w:space="0"/>
            </w:tcBorders>
          </w:tcPr>
          <w:p w14:paraId="663AB8E4">
            <w:pPr>
              <w:spacing w:before="120"/>
              <w:jc w:val="both"/>
              <w:rPr>
                <w:rFonts w:eastAsiaTheme="minorHAnsi"/>
                <w:lang w:val="uk-UA" w:eastAsia="en-US"/>
              </w:rPr>
            </w:pPr>
            <w:r>
              <w:rPr>
                <w:rFonts w:eastAsiaTheme="minorHAnsi"/>
                <w:lang w:val="uk-UA" w:eastAsia="en-US"/>
              </w:rPr>
              <w:t xml:space="preserve">Найменування </w:t>
            </w:r>
          </w:p>
        </w:tc>
        <w:tc>
          <w:tcPr>
            <w:tcW w:w="2014" w:type="dxa"/>
            <w:tcBorders>
              <w:top w:val="single" w:color="auto" w:sz="4" w:space="0"/>
              <w:left w:val="single" w:color="auto" w:sz="4" w:space="0"/>
              <w:bottom w:val="single" w:color="auto" w:sz="4" w:space="0"/>
              <w:right w:val="single" w:color="auto" w:sz="4" w:space="0"/>
            </w:tcBorders>
          </w:tcPr>
          <w:p w14:paraId="6F3D435F">
            <w:pPr>
              <w:spacing w:after="200" w:line="276" w:lineRule="auto"/>
              <w:jc w:val="center"/>
              <w:rPr>
                <w:lang w:val="uk-UA" w:eastAsia="uk-UA"/>
              </w:rPr>
            </w:pPr>
            <w:r>
              <w:rPr>
                <w:lang w:val="uk-UA" w:eastAsia="uk-UA"/>
              </w:rPr>
              <w:t>Суб’єкти малого підприємництва</w:t>
            </w:r>
          </w:p>
          <w:p w14:paraId="2332D585">
            <w:pPr>
              <w:spacing w:after="200" w:line="276" w:lineRule="auto"/>
              <w:jc w:val="center"/>
              <w:rPr>
                <w:lang w:val="uk-UA" w:eastAsia="uk-UA"/>
              </w:rPr>
            </w:pPr>
            <w:r>
              <w:rPr>
                <w:lang w:val="uk-UA" w:eastAsia="uk-UA"/>
              </w:rPr>
              <w:t>(%)</w:t>
            </w:r>
          </w:p>
          <w:p w14:paraId="342ACB78">
            <w:pPr>
              <w:spacing w:after="200" w:line="276" w:lineRule="auto"/>
              <w:jc w:val="center"/>
              <w:rPr>
                <w:lang w:val="uk-UA" w:eastAsia="uk-UA"/>
              </w:rPr>
            </w:pPr>
          </w:p>
        </w:tc>
        <w:tc>
          <w:tcPr>
            <w:tcW w:w="2014" w:type="dxa"/>
            <w:tcBorders>
              <w:top w:val="single" w:color="auto" w:sz="4" w:space="0"/>
              <w:left w:val="single" w:color="auto" w:sz="4" w:space="0"/>
              <w:bottom w:val="single" w:color="auto" w:sz="4" w:space="0"/>
              <w:right w:val="single" w:color="auto" w:sz="4" w:space="0"/>
            </w:tcBorders>
          </w:tcPr>
          <w:p w14:paraId="5D6C8E03">
            <w:pPr>
              <w:spacing w:after="200" w:line="276" w:lineRule="auto"/>
              <w:jc w:val="center"/>
              <w:rPr>
                <w:lang w:val="uk-UA" w:eastAsia="uk-UA"/>
              </w:rPr>
            </w:pPr>
            <w:r>
              <w:rPr>
                <w:lang w:val="uk-UA" w:eastAsia="uk-UA"/>
              </w:rPr>
              <w:t>У тому числі малого підприємництва</w:t>
            </w:r>
          </w:p>
          <w:p w14:paraId="696A566C">
            <w:pPr>
              <w:spacing w:after="200" w:line="276" w:lineRule="auto"/>
              <w:jc w:val="center"/>
              <w:rPr>
                <w:lang w:val="uk-UA" w:eastAsia="uk-UA"/>
              </w:rPr>
            </w:pPr>
            <w:r>
              <w:rPr>
                <w:lang w:val="uk-UA" w:eastAsia="uk-UA"/>
              </w:rPr>
              <w:t>(%)</w:t>
            </w:r>
          </w:p>
        </w:tc>
        <w:tc>
          <w:tcPr>
            <w:tcW w:w="2014" w:type="dxa"/>
            <w:tcBorders>
              <w:top w:val="single" w:color="auto" w:sz="4" w:space="0"/>
              <w:left w:val="single" w:color="auto" w:sz="4" w:space="0"/>
              <w:bottom w:val="single" w:color="auto" w:sz="4" w:space="0"/>
              <w:right w:val="single" w:color="auto" w:sz="4" w:space="0"/>
            </w:tcBorders>
          </w:tcPr>
          <w:p w14:paraId="2305B72E">
            <w:pPr>
              <w:spacing w:after="200" w:line="276" w:lineRule="auto"/>
              <w:jc w:val="center"/>
              <w:rPr>
                <w:lang w:val="uk-UA" w:eastAsia="uk-UA"/>
              </w:rPr>
            </w:pPr>
            <w:r>
              <w:rPr>
                <w:lang w:val="uk-UA" w:eastAsia="uk-UA"/>
              </w:rPr>
              <w:t>У тому числі мікро- підприємництва</w:t>
            </w:r>
          </w:p>
          <w:p w14:paraId="44F63D12">
            <w:pPr>
              <w:spacing w:after="200" w:line="276" w:lineRule="auto"/>
              <w:jc w:val="center"/>
              <w:rPr>
                <w:lang w:val="uk-UA" w:eastAsia="uk-UA"/>
              </w:rPr>
            </w:pPr>
            <w:r>
              <w:rPr>
                <w:lang w:val="uk-UA" w:eastAsia="uk-UA"/>
              </w:rPr>
              <w:t>(%)</w:t>
            </w:r>
          </w:p>
        </w:tc>
      </w:tr>
      <w:tr w14:paraId="359A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229" w:type="dxa"/>
            <w:tcBorders>
              <w:top w:val="single" w:color="auto" w:sz="4" w:space="0"/>
              <w:left w:val="single" w:color="auto" w:sz="4" w:space="0"/>
              <w:bottom w:val="single" w:color="auto" w:sz="4" w:space="0"/>
              <w:right w:val="single" w:color="auto" w:sz="4" w:space="0"/>
            </w:tcBorders>
          </w:tcPr>
          <w:p w14:paraId="5D535D1A">
            <w:pPr>
              <w:spacing w:after="200" w:line="276" w:lineRule="auto"/>
              <w:rPr>
                <w:lang w:val="uk-UA" w:eastAsia="uk-UA"/>
              </w:rPr>
            </w:pPr>
            <w:r>
              <w:rPr>
                <w:b/>
                <w:lang w:val="uk-UA" w:eastAsia="uk-UA"/>
              </w:rPr>
              <w:t>Питома вага  у загальній кількості, відсотків</w:t>
            </w:r>
          </w:p>
        </w:tc>
        <w:tc>
          <w:tcPr>
            <w:tcW w:w="2014" w:type="dxa"/>
            <w:tcBorders>
              <w:top w:val="single" w:color="auto" w:sz="4" w:space="0"/>
              <w:left w:val="single" w:color="auto" w:sz="4" w:space="0"/>
              <w:bottom w:val="single" w:color="auto" w:sz="4" w:space="0"/>
              <w:right w:val="single" w:color="auto" w:sz="4" w:space="0"/>
            </w:tcBorders>
          </w:tcPr>
          <w:p w14:paraId="4B14A55D">
            <w:pPr>
              <w:spacing w:after="200" w:line="276" w:lineRule="auto"/>
              <w:jc w:val="center"/>
              <w:rPr>
                <w:lang w:val="uk-UA" w:eastAsia="uk-UA"/>
              </w:rPr>
            </w:pPr>
            <w:r>
              <w:rPr>
                <w:lang w:val="uk-UA" w:eastAsia="uk-UA"/>
              </w:rPr>
              <w:t>83,4</w:t>
            </w:r>
          </w:p>
        </w:tc>
        <w:tc>
          <w:tcPr>
            <w:tcW w:w="2014" w:type="dxa"/>
            <w:tcBorders>
              <w:top w:val="single" w:color="auto" w:sz="4" w:space="0"/>
              <w:left w:val="single" w:color="auto" w:sz="4" w:space="0"/>
              <w:bottom w:val="single" w:color="auto" w:sz="4" w:space="0"/>
              <w:right w:val="single" w:color="auto" w:sz="4" w:space="0"/>
            </w:tcBorders>
          </w:tcPr>
          <w:p w14:paraId="2B62CDE4">
            <w:pPr>
              <w:spacing w:after="200" w:line="276" w:lineRule="auto"/>
              <w:jc w:val="center"/>
              <w:rPr>
                <w:lang w:val="uk-UA" w:eastAsia="uk-UA"/>
              </w:rPr>
            </w:pPr>
            <w:r>
              <w:rPr>
                <w:lang w:val="uk-UA" w:eastAsia="uk-UA"/>
              </w:rPr>
              <w:t>-</w:t>
            </w:r>
          </w:p>
        </w:tc>
        <w:tc>
          <w:tcPr>
            <w:tcW w:w="2014" w:type="dxa"/>
            <w:tcBorders>
              <w:top w:val="single" w:color="auto" w:sz="4" w:space="0"/>
              <w:left w:val="single" w:color="auto" w:sz="4" w:space="0"/>
              <w:bottom w:val="single" w:color="auto" w:sz="4" w:space="0"/>
              <w:right w:val="single" w:color="auto" w:sz="4" w:space="0"/>
            </w:tcBorders>
          </w:tcPr>
          <w:p w14:paraId="481980CA">
            <w:pPr>
              <w:spacing w:after="200" w:line="276" w:lineRule="auto"/>
              <w:jc w:val="center"/>
              <w:rPr>
                <w:lang w:val="uk-UA" w:eastAsia="uk-UA"/>
              </w:rPr>
            </w:pPr>
            <w:r>
              <w:rPr>
                <w:lang w:val="uk-UA" w:eastAsia="uk-UA"/>
              </w:rPr>
              <w:t>16,6</w:t>
            </w:r>
          </w:p>
        </w:tc>
      </w:tr>
    </w:tbl>
    <w:p w14:paraId="6783CB1E">
      <w:pPr>
        <w:ind w:firstLine="450"/>
        <w:jc w:val="both"/>
        <w:textAlignment w:val="baseline"/>
        <w:rPr>
          <w:lang w:val="uk-UA" w:eastAsia="uk-UA"/>
        </w:rPr>
      </w:pPr>
    </w:p>
    <w:p w14:paraId="274E68FF">
      <w:pPr>
        <w:ind w:firstLine="450"/>
        <w:jc w:val="both"/>
        <w:textAlignment w:val="baseline"/>
        <w:rPr>
          <w:lang w:val="uk-UA" w:eastAsia="uk-UA"/>
        </w:rPr>
      </w:pPr>
      <w:r>
        <w:rPr>
          <w:lang w:val="uk-UA" w:eastAsia="uk-UA"/>
        </w:rPr>
        <w:t>3. Розрахунок витрат суб’єктів малого підприємництва на виконання вимог регулювання.</w:t>
      </w:r>
    </w:p>
    <w:tbl>
      <w:tblPr>
        <w:tblStyle w:val="3"/>
        <w:tblW w:w="5054" w:type="pct"/>
        <w:tblInd w:w="5" w:type="dxa"/>
        <w:tblBorders>
          <w:top w:val="single" w:color="auto" w:sz="2" w:space="0"/>
          <w:left w:val="single" w:color="auto" w:sz="2" w:space="0"/>
          <w:bottom w:val="single" w:color="auto" w:sz="2" w:space="0"/>
          <w:right w:val="single" w:color="auto" w:sz="2" w:space="0"/>
          <w:insideH w:val="none" w:color="auto" w:sz="0" w:space="0"/>
          <w:insideV w:val="none" w:color="auto" w:sz="0" w:space="0"/>
        </w:tblBorders>
        <w:tblLayout w:type="autofit"/>
        <w:tblCellMar>
          <w:top w:w="0" w:type="dxa"/>
          <w:left w:w="0" w:type="dxa"/>
          <w:bottom w:w="0" w:type="dxa"/>
          <w:right w:w="0" w:type="dxa"/>
        </w:tblCellMar>
      </w:tblPr>
      <w:tblGrid>
        <w:gridCol w:w="801"/>
        <w:gridCol w:w="4142"/>
        <w:gridCol w:w="2073"/>
        <w:gridCol w:w="66"/>
        <w:gridCol w:w="1338"/>
        <w:gridCol w:w="1046"/>
      </w:tblGrid>
      <w:tr w14:paraId="3ACE15F2">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vAlign w:val="center"/>
          </w:tcPr>
          <w:p w14:paraId="39AD74DA">
            <w:pPr>
              <w:spacing w:before="150" w:after="150" w:line="15" w:lineRule="atLeast"/>
              <w:jc w:val="center"/>
              <w:textAlignment w:val="baseline"/>
              <w:rPr>
                <w:lang w:val="uk-UA"/>
              </w:rPr>
            </w:pPr>
            <w:r>
              <w:rPr>
                <w:lang w:val="uk-UA"/>
              </w:rPr>
              <w:t>Поряд-ковий номер</w:t>
            </w:r>
          </w:p>
        </w:tc>
        <w:tc>
          <w:tcPr>
            <w:tcW w:w="2188" w:type="pct"/>
            <w:tcBorders>
              <w:top w:val="single" w:color="auto" w:sz="4" w:space="0"/>
              <w:left w:val="single" w:color="auto" w:sz="4" w:space="0"/>
              <w:bottom w:val="single" w:color="auto" w:sz="4" w:space="0"/>
              <w:right w:val="single" w:color="auto" w:sz="4" w:space="0"/>
            </w:tcBorders>
            <w:vAlign w:val="center"/>
          </w:tcPr>
          <w:p w14:paraId="0DC0375F">
            <w:pPr>
              <w:spacing w:before="150" w:after="150" w:line="15" w:lineRule="atLeast"/>
              <w:jc w:val="center"/>
              <w:textAlignment w:val="baseline"/>
              <w:rPr>
                <w:lang w:val="uk-UA"/>
              </w:rPr>
            </w:pPr>
            <w:r>
              <w:rPr>
                <w:lang w:val="uk-UA"/>
              </w:rPr>
              <w:t>Найменування оцінки</w:t>
            </w:r>
          </w:p>
        </w:tc>
        <w:tc>
          <w:tcPr>
            <w:tcW w:w="1130" w:type="pct"/>
            <w:gridSpan w:val="2"/>
            <w:tcBorders>
              <w:top w:val="single" w:color="auto" w:sz="4" w:space="0"/>
              <w:left w:val="single" w:color="auto" w:sz="4" w:space="0"/>
              <w:bottom w:val="single" w:color="auto" w:sz="4" w:space="0"/>
              <w:right w:val="single" w:color="auto" w:sz="4" w:space="0"/>
            </w:tcBorders>
            <w:vAlign w:val="center"/>
          </w:tcPr>
          <w:p w14:paraId="2FA46362">
            <w:pPr>
              <w:spacing w:before="150" w:after="150" w:line="15" w:lineRule="atLeast"/>
              <w:jc w:val="center"/>
              <w:textAlignment w:val="baseline"/>
              <w:rPr>
                <w:lang w:val="uk-UA"/>
              </w:rPr>
            </w:pPr>
            <w:r>
              <w:rPr>
                <w:lang w:val="uk-UA"/>
              </w:rPr>
              <w:t>У перший рік (стартовий рік впровадження регулювання)</w:t>
            </w:r>
          </w:p>
        </w:tc>
        <w:tc>
          <w:tcPr>
            <w:tcW w:w="707" w:type="pct"/>
            <w:tcBorders>
              <w:top w:val="single" w:color="auto" w:sz="4" w:space="0"/>
              <w:left w:val="single" w:color="auto" w:sz="4" w:space="0"/>
              <w:bottom w:val="single" w:color="auto" w:sz="4" w:space="0"/>
              <w:right w:val="single" w:color="auto" w:sz="4" w:space="0"/>
            </w:tcBorders>
            <w:vAlign w:val="center"/>
          </w:tcPr>
          <w:p w14:paraId="5E3AD082">
            <w:pPr>
              <w:spacing w:before="150" w:after="150" w:line="15" w:lineRule="atLeast"/>
              <w:jc w:val="center"/>
              <w:textAlignment w:val="baseline"/>
              <w:rPr>
                <w:lang w:val="uk-UA"/>
              </w:rPr>
            </w:pPr>
            <w:r>
              <w:rPr>
                <w:lang w:val="uk-UA"/>
              </w:rPr>
              <w:t>Періодичні (за наступний рік)</w:t>
            </w:r>
          </w:p>
        </w:tc>
        <w:tc>
          <w:tcPr>
            <w:tcW w:w="551" w:type="pct"/>
            <w:tcBorders>
              <w:top w:val="single" w:color="auto" w:sz="4" w:space="0"/>
              <w:left w:val="single" w:color="auto" w:sz="4" w:space="0"/>
              <w:bottom w:val="single" w:color="auto" w:sz="4" w:space="0"/>
              <w:right w:val="single" w:color="auto" w:sz="4" w:space="0"/>
            </w:tcBorders>
            <w:vAlign w:val="center"/>
          </w:tcPr>
          <w:p w14:paraId="33D32C28">
            <w:pPr>
              <w:spacing w:before="150" w:after="150" w:line="15" w:lineRule="atLeast"/>
              <w:jc w:val="center"/>
              <w:textAlignment w:val="baseline"/>
              <w:rPr>
                <w:lang w:val="uk-UA"/>
              </w:rPr>
            </w:pPr>
            <w:r>
              <w:rPr>
                <w:lang w:val="uk-UA"/>
              </w:rPr>
              <w:t>Витрати за</w:t>
            </w:r>
            <w:r>
              <w:rPr>
                <w:lang w:val="uk-UA"/>
              </w:rPr>
              <w:br w:type="textWrapping"/>
            </w:r>
            <w:r>
              <w:rPr>
                <w:lang w:val="uk-UA"/>
              </w:rPr>
              <w:t>п’ять років</w:t>
            </w:r>
          </w:p>
        </w:tc>
      </w:tr>
      <w:tr w14:paraId="752ED6F2">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5000" w:type="pct"/>
            <w:gridSpan w:val="6"/>
            <w:tcBorders>
              <w:top w:val="single" w:color="auto" w:sz="4" w:space="0"/>
              <w:left w:val="single" w:color="auto" w:sz="4" w:space="0"/>
              <w:bottom w:val="single" w:color="auto" w:sz="4" w:space="0"/>
              <w:right w:val="single" w:color="auto" w:sz="4" w:space="0"/>
            </w:tcBorders>
          </w:tcPr>
          <w:p w14:paraId="25C4D008">
            <w:pPr>
              <w:spacing w:before="150" w:after="150" w:line="15" w:lineRule="atLeast"/>
              <w:jc w:val="center"/>
              <w:textAlignment w:val="baseline"/>
              <w:rPr>
                <w:lang w:val="uk-UA"/>
              </w:rPr>
            </w:pPr>
            <w:r>
              <w:rPr>
                <w:lang w:val="uk-UA"/>
              </w:rPr>
              <w:t>Оцінка “прямих” витрат суб’єктів малого підприємництва на виконання регулювання</w:t>
            </w:r>
          </w:p>
        </w:tc>
      </w:tr>
      <w:tr w14:paraId="41B689A0">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vAlign w:val="center"/>
          </w:tcPr>
          <w:p w14:paraId="3147599B">
            <w:pPr>
              <w:spacing w:before="150" w:after="150" w:line="15" w:lineRule="atLeast"/>
              <w:jc w:val="center"/>
              <w:textAlignment w:val="baseline"/>
              <w:rPr>
                <w:lang w:val="uk-UA"/>
              </w:rPr>
            </w:pPr>
            <w:r>
              <w:rPr>
                <w:lang w:val="uk-UA"/>
              </w:rPr>
              <w:t>1</w:t>
            </w:r>
          </w:p>
        </w:tc>
        <w:tc>
          <w:tcPr>
            <w:tcW w:w="2188" w:type="pct"/>
            <w:tcBorders>
              <w:top w:val="single" w:color="auto" w:sz="4" w:space="0"/>
              <w:left w:val="single" w:color="auto" w:sz="4" w:space="0"/>
              <w:bottom w:val="single" w:color="auto" w:sz="4" w:space="0"/>
              <w:right w:val="single" w:color="auto" w:sz="4" w:space="0"/>
            </w:tcBorders>
          </w:tcPr>
          <w:p w14:paraId="07658A69">
            <w:pPr>
              <w:spacing w:line="15" w:lineRule="atLeast"/>
              <w:ind w:left="182"/>
              <w:textAlignment w:val="baseline"/>
              <w:rPr>
                <w:b/>
                <w:lang w:val="uk-UA"/>
              </w:rPr>
            </w:pPr>
            <w:r>
              <w:rPr>
                <w:b/>
                <w:lang w:val="uk-UA"/>
              </w:rPr>
              <w:t>Придбання необхідного обладнання (пристроїв, машин, механізмів)</w:t>
            </w:r>
          </w:p>
          <w:p w14:paraId="55DA33A4">
            <w:pPr>
              <w:ind w:firstLine="450"/>
              <w:jc w:val="both"/>
              <w:textAlignment w:val="baseline"/>
              <w:rPr>
                <w:lang w:val="uk-UA" w:eastAsia="uk-UA"/>
              </w:rPr>
            </w:pPr>
          </w:p>
        </w:tc>
        <w:tc>
          <w:tcPr>
            <w:tcW w:w="1095" w:type="pct"/>
            <w:tcBorders>
              <w:top w:val="single" w:color="auto" w:sz="4" w:space="0"/>
              <w:left w:val="single" w:color="auto" w:sz="4" w:space="0"/>
              <w:bottom w:val="single" w:color="auto" w:sz="4" w:space="0"/>
              <w:right w:val="single" w:color="auto" w:sz="4" w:space="0"/>
            </w:tcBorders>
          </w:tcPr>
          <w:p w14:paraId="71309F4B">
            <w:pPr>
              <w:spacing w:before="150" w:after="150"/>
              <w:jc w:val="center"/>
              <w:textAlignment w:val="baseline"/>
              <w:rPr>
                <w:lang w:val="uk-UA"/>
              </w:rPr>
            </w:pPr>
          </w:p>
          <w:p w14:paraId="2B7AB8DC">
            <w:pPr>
              <w:spacing w:after="200" w:line="276" w:lineRule="auto"/>
              <w:jc w:val="center"/>
              <w:rPr>
                <w:lang w:val="uk-UA" w:eastAsia="uk-UA"/>
              </w:rPr>
            </w:pPr>
          </w:p>
          <w:p w14:paraId="33B4A1BE">
            <w:pPr>
              <w:spacing w:after="200" w:line="276" w:lineRule="auto"/>
              <w:jc w:val="center"/>
              <w:rPr>
                <w:lang w:val="uk-UA" w:eastAsia="uk-UA"/>
              </w:rPr>
            </w:pPr>
            <w:r>
              <w:rPr>
                <w:lang w:val="uk-UA" w:eastAsia="uk-UA"/>
              </w:rPr>
              <w:t>0,0</w:t>
            </w:r>
          </w:p>
          <w:p w14:paraId="4E15CC7F">
            <w:pPr>
              <w:spacing w:after="200" w:line="276" w:lineRule="auto"/>
              <w:jc w:val="center"/>
              <w:rPr>
                <w:lang w:val="uk-UA" w:eastAsia="uk-UA"/>
              </w:rPr>
            </w:pPr>
          </w:p>
          <w:p w14:paraId="744A0C85">
            <w:pPr>
              <w:spacing w:after="200" w:line="276" w:lineRule="auto"/>
              <w:jc w:val="center"/>
              <w:rPr>
                <w:lang w:val="uk-UA" w:eastAsia="uk-UA"/>
              </w:rPr>
            </w:pPr>
          </w:p>
        </w:tc>
        <w:tc>
          <w:tcPr>
            <w:tcW w:w="742" w:type="pct"/>
            <w:gridSpan w:val="2"/>
            <w:tcBorders>
              <w:top w:val="single" w:color="auto" w:sz="4" w:space="0"/>
              <w:left w:val="single" w:color="auto" w:sz="4" w:space="0"/>
              <w:bottom w:val="single" w:color="auto" w:sz="4" w:space="0"/>
              <w:right w:val="single" w:color="auto" w:sz="4" w:space="0"/>
            </w:tcBorders>
          </w:tcPr>
          <w:p w14:paraId="6A0615ED">
            <w:pPr>
              <w:spacing w:before="150" w:after="150"/>
              <w:textAlignment w:val="baseline"/>
              <w:rPr>
                <w:lang w:val="uk-UA"/>
              </w:rPr>
            </w:pPr>
          </w:p>
          <w:p w14:paraId="1C90ADFA">
            <w:pPr>
              <w:spacing w:after="200" w:line="276" w:lineRule="auto"/>
              <w:jc w:val="center"/>
              <w:rPr>
                <w:lang w:val="uk-UA" w:eastAsia="uk-UA"/>
              </w:rPr>
            </w:pPr>
          </w:p>
          <w:p w14:paraId="37688A86">
            <w:pPr>
              <w:spacing w:after="200" w:line="276" w:lineRule="auto"/>
              <w:jc w:val="center"/>
              <w:rPr>
                <w:lang w:val="uk-UA" w:eastAsia="uk-UA"/>
              </w:rPr>
            </w:pPr>
            <w:r>
              <w:rPr>
                <w:lang w:val="uk-UA" w:eastAsia="uk-UA"/>
              </w:rPr>
              <w:t>0,0</w:t>
            </w:r>
          </w:p>
          <w:p w14:paraId="4EC12C03">
            <w:pPr>
              <w:spacing w:after="200" w:line="276" w:lineRule="auto"/>
              <w:jc w:val="center"/>
              <w:rPr>
                <w:lang w:val="uk-UA" w:eastAsia="uk-UA"/>
              </w:rPr>
            </w:pPr>
          </w:p>
          <w:p w14:paraId="522B854D">
            <w:pPr>
              <w:spacing w:after="200" w:line="276" w:lineRule="auto"/>
              <w:jc w:val="center"/>
              <w:rPr>
                <w:lang w:val="uk-UA" w:eastAsia="uk-UA"/>
              </w:rPr>
            </w:pPr>
          </w:p>
        </w:tc>
        <w:tc>
          <w:tcPr>
            <w:tcW w:w="551" w:type="pct"/>
            <w:tcBorders>
              <w:top w:val="single" w:color="auto" w:sz="4" w:space="0"/>
              <w:left w:val="single" w:color="auto" w:sz="4" w:space="0"/>
              <w:bottom w:val="single" w:color="auto" w:sz="4" w:space="0"/>
              <w:right w:val="single" w:color="auto" w:sz="4" w:space="0"/>
            </w:tcBorders>
          </w:tcPr>
          <w:p w14:paraId="4B71D0BF">
            <w:pPr>
              <w:spacing w:before="150" w:after="150"/>
              <w:textAlignment w:val="baseline"/>
              <w:rPr>
                <w:lang w:val="uk-UA"/>
              </w:rPr>
            </w:pPr>
          </w:p>
          <w:p w14:paraId="6E144AA8">
            <w:pPr>
              <w:spacing w:after="200" w:line="276" w:lineRule="auto"/>
              <w:jc w:val="center"/>
              <w:rPr>
                <w:lang w:val="uk-UA" w:eastAsia="uk-UA"/>
              </w:rPr>
            </w:pPr>
          </w:p>
          <w:p w14:paraId="0E09C2EC">
            <w:pPr>
              <w:spacing w:after="200" w:line="276" w:lineRule="auto"/>
              <w:jc w:val="center"/>
              <w:rPr>
                <w:lang w:val="uk-UA" w:eastAsia="uk-UA"/>
              </w:rPr>
            </w:pPr>
            <w:r>
              <w:rPr>
                <w:lang w:val="uk-UA" w:eastAsia="uk-UA"/>
              </w:rPr>
              <w:t>0,0</w:t>
            </w:r>
          </w:p>
          <w:p w14:paraId="3F2917FD">
            <w:pPr>
              <w:spacing w:after="200" w:line="276" w:lineRule="auto"/>
              <w:jc w:val="center"/>
              <w:rPr>
                <w:lang w:val="uk-UA" w:eastAsia="uk-UA"/>
              </w:rPr>
            </w:pPr>
          </w:p>
          <w:p w14:paraId="22371A4C">
            <w:pPr>
              <w:spacing w:after="200" w:line="276" w:lineRule="auto"/>
              <w:jc w:val="center"/>
              <w:rPr>
                <w:lang w:val="uk-UA" w:eastAsia="uk-UA"/>
              </w:rPr>
            </w:pPr>
          </w:p>
        </w:tc>
      </w:tr>
      <w:tr w14:paraId="728DD7A9">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304" w:hRule="atLeast"/>
        </w:trPr>
        <w:tc>
          <w:tcPr>
            <w:tcW w:w="423" w:type="pct"/>
            <w:tcBorders>
              <w:top w:val="single" w:color="auto" w:sz="4" w:space="0"/>
              <w:left w:val="single" w:color="auto" w:sz="4" w:space="0"/>
              <w:bottom w:val="single" w:color="auto" w:sz="4" w:space="0"/>
              <w:right w:val="single" w:color="auto" w:sz="4" w:space="0"/>
            </w:tcBorders>
            <w:vAlign w:val="center"/>
          </w:tcPr>
          <w:p w14:paraId="4E852AC4">
            <w:pPr>
              <w:spacing w:before="150" w:after="150" w:line="15" w:lineRule="atLeast"/>
              <w:jc w:val="center"/>
              <w:textAlignment w:val="baseline"/>
              <w:rPr>
                <w:lang w:val="uk-UA"/>
              </w:rPr>
            </w:pPr>
            <w:r>
              <w:rPr>
                <w:lang w:val="uk-UA"/>
              </w:rPr>
              <w:t>2</w:t>
            </w:r>
          </w:p>
        </w:tc>
        <w:tc>
          <w:tcPr>
            <w:tcW w:w="2188" w:type="pct"/>
            <w:tcBorders>
              <w:top w:val="single" w:color="auto" w:sz="4" w:space="0"/>
              <w:left w:val="single" w:color="auto" w:sz="4" w:space="0"/>
              <w:bottom w:val="single" w:color="auto" w:sz="4" w:space="0"/>
              <w:right w:val="single" w:color="auto" w:sz="4" w:space="0"/>
            </w:tcBorders>
          </w:tcPr>
          <w:p w14:paraId="6DB6A9FD">
            <w:pPr>
              <w:spacing w:line="15" w:lineRule="atLeast"/>
              <w:ind w:left="182"/>
              <w:textAlignment w:val="baseline"/>
              <w:rPr>
                <w:b/>
                <w:lang w:val="uk-UA"/>
              </w:rPr>
            </w:pPr>
            <w:r>
              <w:rPr>
                <w:b/>
                <w:lang w:val="uk-UA"/>
              </w:rPr>
              <w:t>Процедури повірки та/або постановки на відповідний облік у визначеному органі державної влади чи місцевого самоврядування</w:t>
            </w:r>
          </w:p>
          <w:p w14:paraId="1D9C8ECD">
            <w:pPr>
              <w:ind w:firstLine="450"/>
              <w:jc w:val="both"/>
              <w:textAlignment w:val="baseline"/>
              <w:rPr>
                <w:lang w:val="uk-UA" w:eastAsia="uk-UA"/>
              </w:rPr>
            </w:pPr>
          </w:p>
        </w:tc>
        <w:tc>
          <w:tcPr>
            <w:tcW w:w="1095" w:type="pct"/>
            <w:tcBorders>
              <w:top w:val="single" w:color="auto" w:sz="4" w:space="0"/>
              <w:left w:val="single" w:color="auto" w:sz="4" w:space="0"/>
              <w:bottom w:val="single" w:color="auto" w:sz="4" w:space="0"/>
              <w:right w:val="single" w:color="auto" w:sz="4" w:space="0"/>
            </w:tcBorders>
          </w:tcPr>
          <w:p w14:paraId="3C09B456">
            <w:pPr>
              <w:spacing w:before="150" w:after="150"/>
              <w:textAlignment w:val="baseline"/>
              <w:rPr>
                <w:lang w:val="uk-UA"/>
              </w:rPr>
            </w:pPr>
          </w:p>
          <w:p w14:paraId="4FE0EEE9">
            <w:pPr>
              <w:spacing w:after="200" w:line="276" w:lineRule="auto"/>
              <w:rPr>
                <w:lang w:val="uk-UA" w:eastAsia="uk-UA"/>
              </w:rPr>
            </w:pPr>
          </w:p>
          <w:p w14:paraId="52FE4E3B">
            <w:pPr>
              <w:spacing w:after="200" w:line="276" w:lineRule="auto"/>
              <w:jc w:val="center"/>
              <w:rPr>
                <w:lang w:val="uk-UA" w:eastAsia="uk-UA"/>
              </w:rPr>
            </w:pPr>
            <w:r>
              <w:rPr>
                <w:lang w:val="uk-UA" w:eastAsia="uk-UA"/>
              </w:rPr>
              <w:t>0,0</w:t>
            </w:r>
          </w:p>
          <w:p w14:paraId="43E8CF33">
            <w:pPr>
              <w:spacing w:after="200" w:line="276" w:lineRule="auto"/>
              <w:jc w:val="center"/>
              <w:rPr>
                <w:lang w:val="uk-UA" w:eastAsia="uk-UA"/>
              </w:rPr>
            </w:pPr>
          </w:p>
        </w:tc>
        <w:tc>
          <w:tcPr>
            <w:tcW w:w="742" w:type="pct"/>
            <w:gridSpan w:val="2"/>
            <w:tcBorders>
              <w:top w:val="single" w:color="auto" w:sz="4" w:space="0"/>
              <w:left w:val="single" w:color="auto" w:sz="4" w:space="0"/>
              <w:bottom w:val="single" w:color="auto" w:sz="4" w:space="0"/>
              <w:right w:val="single" w:color="auto" w:sz="4" w:space="0"/>
            </w:tcBorders>
          </w:tcPr>
          <w:p w14:paraId="18663B4A">
            <w:pPr>
              <w:spacing w:before="150" w:after="150"/>
              <w:textAlignment w:val="baseline"/>
              <w:rPr>
                <w:lang w:val="uk-UA"/>
              </w:rPr>
            </w:pPr>
          </w:p>
          <w:p w14:paraId="5C597CD7">
            <w:pPr>
              <w:spacing w:after="200" w:line="276" w:lineRule="auto"/>
              <w:rPr>
                <w:lang w:val="uk-UA" w:eastAsia="uk-UA"/>
              </w:rPr>
            </w:pPr>
          </w:p>
          <w:p w14:paraId="645BD437">
            <w:pPr>
              <w:spacing w:after="200" w:line="276" w:lineRule="auto"/>
              <w:jc w:val="center"/>
              <w:rPr>
                <w:lang w:val="uk-UA" w:eastAsia="uk-UA"/>
              </w:rPr>
            </w:pPr>
            <w:r>
              <w:rPr>
                <w:lang w:val="uk-UA" w:eastAsia="uk-UA"/>
              </w:rPr>
              <w:t>0,0</w:t>
            </w:r>
          </w:p>
          <w:p w14:paraId="3D3D69F8">
            <w:pPr>
              <w:spacing w:after="200" w:line="276" w:lineRule="auto"/>
              <w:jc w:val="center"/>
              <w:rPr>
                <w:lang w:val="uk-UA" w:eastAsia="uk-UA"/>
              </w:rPr>
            </w:pPr>
          </w:p>
        </w:tc>
        <w:tc>
          <w:tcPr>
            <w:tcW w:w="551" w:type="pct"/>
            <w:tcBorders>
              <w:top w:val="single" w:color="auto" w:sz="4" w:space="0"/>
              <w:left w:val="single" w:color="auto" w:sz="4" w:space="0"/>
              <w:bottom w:val="single" w:color="auto" w:sz="4" w:space="0"/>
              <w:right w:val="single" w:color="auto" w:sz="4" w:space="0"/>
            </w:tcBorders>
          </w:tcPr>
          <w:p w14:paraId="780EB61B">
            <w:pPr>
              <w:spacing w:before="150" w:after="150"/>
              <w:textAlignment w:val="baseline"/>
              <w:rPr>
                <w:lang w:val="uk-UA"/>
              </w:rPr>
            </w:pPr>
          </w:p>
          <w:p w14:paraId="1FC778D0">
            <w:pPr>
              <w:spacing w:after="200" w:line="276" w:lineRule="auto"/>
              <w:rPr>
                <w:lang w:val="uk-UA" w:eastAsia="uk-UA"/>
              </w:rPr>
            </w:pPr>
          </w:p>
          <w:p w14:paraId="29C9CA8C">
            <w:pPr>
              <w:spacing w:after="200" w:line="276" w:lineRule="auto"/>
              <w:jc w:val="center"/>
              <w:rPr>
                <w:lang w:val="uk-UA" w:eastAsia="uk-UA"/>
              </w:rPr>
            </w:pPr>
            <w:r>
              <w:rPr>
                <w:lang w:val="uk-UA" w:eastAsia="uk-UA"/>
              </w:rPr>
              <w:t>0,0</w:t>
            </w:r>
          </w:p>
          <w:p w14:paraId="6D0B801A">
            <w:pPr>
              <w:spacing w:after="200" w:line="276" w:lineRule="auto"/>
              <w:jc w:val="center"/>
              <w:rPr>
                <w:lang w:val="uk-UA" w:eastAsia="uk-UA"/>
              </w:rPr>
            </w:pPr>
          </w:p>
        </w:tc>
      </w:tr>
      <w:tr w14:paraId="7BDFF4E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vAlign w:val="center"/>
          </w:tcPr>
          <w:p w14:paraId="3738EDBA">
            <w:pPr>
              <w:spacing w:before="150" w:after="150" w:line="15" w:lineRule="atLeast"/>
              <w:jc w:val="center"/>
              <w:textAlignment w:val="baseline"/>
              <w:rPr>
                <w:lang w:val="uk-UA"/>
              </w:rPr>
            </w:pPr>
            <w:r>
              <w:rPr>
                <w:lang w:val="uk-UA"/>
              </w:rPr>
              <w:t>3</w:t>
            </w:r>
          </w:p>
        </w:tc>
        <w:tc>
          <w:tcPr>
            <w:tcW w:w="2188" w:type="pct"/>
            <w:tcBorders>
              <w:top w:val="single" w:color="auto" w:sz="4" w:space="0"/>
              <w:left w:val="single" w:color="auto" w:sz="4" w:space="0"/>
              <w:bottom w:val="single" w:color="auto" w:sz="4" w:space="0"/>
              <w:right w:val="single" w:color="auto" w:sz="4" w:space="0"/>
            </w:tcBorders>
          </w:tcPr>
          <w:p w14:paraId="368092F0">
            <w:pPr>
              <w:spacing w:line="15" w:lineRule="atLeast"/>
              <w:ind w:left="182"/>
              <w:textAlignment w:val="baseline"/>
              <w:rPr>
                <w:b/>
                <w:lang w:val="uk-UA"/>
              </w:rPr>
            </w:pPr>
            <w:r>
              <w:rPr>
                <w:b/>
                <w:lang w:val="uk-UA"/>
              </w:rPr>
              <w:t>Процедури експлуатації обладнання (експлуатаційні витрати – витратні матеріали)</w:t>
            </w:r>
          </w:p>
        </w:tc>
        <w:tc>
          <w:tcPr>
            <w:tcW w:w="1095" w:type="pct"/>
            <w:tcBorders>
              <w:top w:val="single" w:color="auto" w:sz="4" w:space="0"/>
              <w:left w:val="single" w:color="auto" w:sz="4" w:space="0"/>
              <w:bottom w:val="single" w:color="auto" w:sz="4" w:space="0"/>
              <w:right w:val="single" w:color="auto" w:sz="4" w:space="0"/>
            </w:tcBorders>
          </w:tcPr>
          <w:p w14:paraId="23D165AD">
            <w:pPr>
              <w:spacing w:after="200" w:line="276" w:lineRule="auto"/>
              <w:jc w:val="center"/>
              <w:rPr>
                <w:lang w:val="uk-UA" w:eastAsia="uk-UA"/>
              </w:rPr>
            </w:pPr>
            <w:r>
              <w:rPr>
                <w:lang w:val="uk-UA" w:eastAsia="uk-UA"/>
              </w:rPr>
              <w:t>0,0</w:t>
            </w:r>
          </w:p>
          <w:p w14:paraId="188A8519">
            <w:pPr>
              <w:spacing w:after="200" w:line="276" w:lineRule="auto"/>
              <w:jc w:val="center"/>
              <w:rPr>
                <w:lang w:val="uk-UA" w:eastAsia="uk-UA"/>
              </w:rPr>
            </w:pPr>
          </w:p>
        </w:tc>
        <w:tc>
          <w:tcPr>
            <w:tcW w:w="742" w:type="pct"/>
            <w:gridSpan w:val="2"/>
            <w:tcBorders>
              <w:top w:val="single" w:color="auto" w:sz="4" w:space="0"/>
              <w:left w:val="single" w:color="auto" w:sz="4" w:space="0"/>
              <w:bottom w:val="single" w:color="auto" w:sz="4" w:space="0"/>
              <w:right w:val="single" w:color="auto" w:sz="4" w:space="0"/>
            </w:tcBorders>
          </w:tcPr>
          <w:p w14:paraId="751AE522">
            <w:pPr>
              <w:spacing w:after="200" w:line="276" w:lineRule="auto"/>
              <w:jc w:val="center"/>
              <w:rPr>
                <w:lang w:val="uk-UA" w:eastAsia="uk-UA"/>
              </w:rPr>
            </w:pPr>
            <w:r>
              <w:rPr>
                <w:lang w:val="uk-UA" w:eastAsia="uk-UA"/>
              </w:rPr>
              <w:t>0,0</w:t>
            </w:r>
          </w:p>
          <w:p w14:paraId="1B4E6AAE">
            <w:pPr>
              <w:spacing w:after="200" w:line="276" w:lineRule="auto"/>
              <w:jc w:val="center"/>
              <w:rPr>
                <w:lang w:val="uk-UA" w:eastAsia="uk-UA"/>
              </w:rPr>
            </w:pPr>
          </w:p>
        </w:tc>
        <w:tc>
          <w:tcPr>
            <w:tcW w:w="551" w:type="pct"/>
            <w:tcBorders>
              <w:top w:val="single" w:color="auto" w:sz="4" w:space="0"/>
              <w:left w:val="single" w:color="auto" w:sz="4" w:space="0"/>
              <w:bottom w:val="single" w:color="auto" w:sz="4" w:space="0"/>
              <w:right w:val="single" w:color="auto" w:sz="4" w:space="0"/>
            </w:tcBorders>
          </w:tcPr>
          <w:p w14:paraId="3FFC7762">
            <w:pPr>
              <w:spacing w:after="200" w:line="276" w:lineRule="auto"/>
              <w:jc w:val="center"/>
              <w:rPr>
                <w:lang w:val="uk-UA" w:eastAsia="uk-UA"/>
              </w:rPr>
            </w:pPr>
            <w:r>
              <w:rPr>
                <w:lang w:val="uk-UA" w:eastAsia="uk-UA"/>
              </w:rPr>
              <w:t>0,0</w:t>
            </w:r>
          </w:p>
          <w:p w14:paraId="44375D70">
            <w:pPr>
              <w:spacing w:after="200" w:line="276" w:lineRule="auto"/>
              <w:jc w:val="center"/>
              <w:rPr>
                <w:lang w:val="uk-UA" w:eastAsia="uk-UA"/>
              </w:rPr>
            </w:pPr>
          </w:p>
        </w:tc>
      </w:tr>
      <w:tr w14:paraId="505CC336">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vAlign w:val="center"/>
          </w:tcPr>
          <w:p w14:paraId="49C05C12">
            <w:pPr>
              <w:spacing w:before="150" w:after="150" w:line="15" w:lineRule="atLeast"/>
              <w:jc w:val="center"/>
              <w:textAlignment w:val="baseline"/>
              <w:rPr>
                <w:lang w:val="uk-UA"/>
              </w:rPr>
            </w:pPr>
            <w:r>
              <w:rPr>
                <w:lang w:val="uk-UA"/>
              </w:rPr>
              <w:t>4</w:t>
            </w:r>
          </w:p>
        </w:tc>
        <w:tc>
          <w:tcPr>
            <w:tcW w:w="2188" w:type="pct"/>
            <w:tcBorders>
              <w:top w:val="single" w:color="auto" w:sz="4" w:space="0"/>
              <w:left w:val="single" w:color="auto" w:sz="4" w:space="0"/>
              <w:bottom w:val="single" w:color="auto" w:sz="4" w:space="0"/>
              <w:right w:val="single" w:color="auto" w:sz="4" w:space="0"/>
            </w:tcBorders>
          </w:tcPr>
          <w:p w14:paraId="158DB124">
            <w:pPr>
              <w:spacing w:line="15" w:lineRule="atLeast"/>
              <w:ind w:left="182"/>
              <w:textAlignment w:val="baseline"/>
              <w:rPr>
                <w:b/>
                <w:lang w:val="uk-UA"/>
              </w:rPr>
            </w:pPr>
            <w:r>
              <w:rPr>
                <w:b/>
                <w:lang w:val="uk-UA"/>
              </w:rPr>
              <w:t>Процедури обслуговування обладнання (технічне обслуговування)</w:t>
            </w:r>
          </w:p>
          <w:p w14:paraId="1C9FF46E">
            <w:pPr>
              <w:ind w:firstLine="450"/>
              <w:jc w:val="both"/>
              <w:textAlignment w:val="baseline"/>
              <w:rPr>
                <w:lang w:val="uk-UA" w:eastAsia="uk-UA"/>
              </w:rPr>
            </w:pPr>
          </w:p>
        </w:tc>
        <w:tc>
          <w:tcPr>
            <w:tcW w:w="1095" w:type="pct"/>
            <w:tcBorders>
              <w:top w:val="single" w:color="auto" w:sz="4" w:space="0"/>
              <w:left w:val="single" w:color="auto" w:sz="4" w:space="0"/>
              <w:bottom w:val="single" w:color="auto" w:sz="4" w:space="0"/>
              <w:right w:val="single" w:color="auto" w:sz="4" w:space="0"/>
            </w:tcBorders>
          </w:tcPr>
          <w:p w14:paraId="437ACE47">
            <w:pPr>
              <w:spacing w:after="200" w:line="276" w:lineRule="auto"/>
              <w:jc w:val="center"/>
              <w:rPr>
                <w:lang w:val="uk-UA" w:eastAsia="uk-UA"/>
              </w:rPr>
            </w:pPr>
            <w:r>
              <w:rPr>
                <w:lang w:val="uk-UA" w:eastAsia="uk-UA"/>
              </w:rPr>
              <w:t>0,0</w:t>
            </w:r>
          </w:p>
        </w:tc>
        <w:tc>
          <w:tcPr>
            <w:tcW w:w="742" w:type="pct"/>
            <w:gridSpan w:val="2"/>
            <w:tcBorders>
              <w:top w:val="single" w:color="auto" w:sz="4" w:space="0"/>
              <w:left w:val="single" w:color="auto" w:sz="4" w:space="0"/>
              <w:bottom w:val="single" w:color="auto" w:sz="4" w:space="0"/>
              <w:right w:val="single" w:color="auto" w:sz="4" w:space="0"/>
            </w:tcBorders>
          </w:tcPr>
          <w:p w14:paraId="14D90E79">
            <w:pPr>
              <w:spacing w:after="200" w:line="276" w:lineRule="auto"/>
              <w:jc w:val="center"/>
              <w:rPr>
                <w:lang w:val="uk-UA" w:eastAsia="uk-UA"/>
              </w:rPr>
            </w:pPr>
            <w:r>
              <w:rPr>
                <w:lang w:val="uk-UA" w:eastAsia="uk-UA"/>
              </w:rPr>
              <w:t>0,0</w:t>
            </w:r>
          </w:p>
        </w:tc>
        <w:tc>
          <w:tcPr>
            <w:tcW w:w="551" w:type="pct"/>
            <w:tcBorders>
              <w:top w:val="single" w:color="auto" w:sz="4" w:space="0"/>
              <w:left w:val="single" w:color="auto" w:sz="4" w:space="0"/>
              <w:bottom w:val="single" w:color="auto" w:sz="4" w:space="0"/>
              <w:right w:val="single" w:color="auto" w:sz="4" w:space="0"/>
            </w:tcBorders>
          </w:tcPr>
          <w:p w14:paraId="2D269D04">
            <w:pPr>
              <w:spacing w:after="200" w:line="276" w:lineRule="auto"/>
              <w:jc w:val="center"/>
              <w:rPr>
                <w:lang w:val="uk-UA" w:eastAsia="uk-UA"/>
              </w:rPr>
            </w:pPr>
            <w:r>
              <w:rPr>
                <w:lang w:val="uk-UA" w:eastAsia="uk-UA"/>
              </w:rPr>
              <w:t>0,0</w:t>
            </w:r>
          </w:p>
        </w:tc>
      </w:tr>
      <w:tr w14:paraId="555928C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vAlign w:val="center"/>
          </w:tcPr>
          <w:p w14:paraId="18F9DC3D">
            <w:pPr>
              <w:spacing w:before="150" w:after="150" w:line="15" w:lineRule="atLeast"/>
              <w:jc w:val="center"/>
              <w:textAlignment w:val="baseline"/>
              <w:rPr>
                <w:lang w:val="uk-UA"/>
              </w:rPr>
            </w:pPr>
            <w:r>
              <w:rPr>
                <w:lang w:val="uk-UA"/>
              </w:rPr>
              <w:t>5</w:t>
            </w:r>
          </w:p>
        </w:tc>
        <w:tc>
          <w:tcPr>
            <w:tcW w:w="2188" w:type="pct"/>
            <w:tcBorders>
              <w:top w:val="single" w:color="auto" w:sz="4" w:space="0"/>
              <w:left w:val="single" w:color="auto" w:sz="4" w:space="0"/>
              <w:bottom w:val="single" w:color="auto" w:sz="4" w:space="0"/>
              <w:right w:val="single" w:color="auto" w:sz="4" w:space="0"/>
            </w:tcBorders>
          </w:tcPr>
          <w:p w14:paraId="290906B4">
            <w:pPr>
              <w:spacing w:before="150" w:after="150" w:line="15" w:lineRule="atLeast"/>
              <w:ind w:firstLine="182"/>
              <w:textAlignment w:val="baseline"/>
              <w:rPr>
                <w:b/>
                <w:lang w:val="uk-UA"/>
              </w:rPr>
            </w:pPr>
            <w:r>
              <w:rPr>
                <w:b/>
                <w:lang w:val="uk-UA"/>
              </w:rPr>
              <w:t>Інші процедури (уточнити)</w:t>
            </w:r>
          </w:p>
          <w:p w14:paraId="557D4EC0">
            <w:pPr>
              <w:ind w:firstLine="450"/>
              <w:jc w:val="both"/>
              <w:textAlignment w:val="baseline"/>
              <w:rPr>
                <w:lang w:val="uk-UA" w:eastAsia="uk-UA"/>
              </w:rPr>
            </w:pPr>
          </w:p>
        </w:tc>
        <w:tc>
          <w:tcPr>
            <w:tcW w:w="1095" w:type="pct"/>
            <w:tcBorders>
              <w:top w:val="single" w:color="auto" w:sz="4" w:space="0"/>
              <w:left w:val="single" w:color="auto" w:sz="4" w:space="0"/>
              <w:bottom w:val="single" w:color="auto" w:sz="4" w:space="0"/>
              <w:right w:val="single" w:color="auto" w:sz="4" w:space="0"/>
            </w:tcBorders>
          </w:tcPr>
          <w:p w14:paraId="0F433AE5">
            <w:pPr>
              <w:spacing w:after="200" w:line="276" w:lineRule="auto"/>
              <w:jc w:val="center"/>
              <w:rPr>
                <w:lang w:val="uk-UA" w:eastAsia="uk-UA"/>
              </w:rPr>
            </w:pPr>
            <w:r>
              <w:rPr>
                <w:lang w:val="uk-UA" w:eastAsia="uk-UA"/>
              </w:rPr>
              <w:t>0,0</w:t>
            </w:r>
          </w:p>
        </w:tc>
        <w:tc>
          <w:tcPr>
            <w:tcW w:w="742" w:type="pct"/>
            <w:gridSpan w:val="2"/>
            <w:tcBorders>
              <w:top w:val="single" w:color="auto" w:sz="4" w:space="0"/>
              <w:left w:val="single" w:color="auto" w:sz="4" w:space="0"/>
              <w:bottom w:val="single" w:color="auto" w:sz="4" w:space="0"/>
              <w:right w:val="single" w:color="auto" w:sz="4" w:space="0"/>
            </w:tcBorders>
          </w:tcPr>
          <w:p w14:paraId="6F3E257D">
            <w:pPr>
              <w:spacing w:after="200" w:line="276" w:lineRule="auto"/>
              <w:jc w:val="center"/>
              <w:rPr>
                <w:lang w:val="uk-UA" w:eastAsia="uk-UA"/>
              </w:rPr>
            </w:pPr>
            <w:r>
              <w:rPr>
                <w:lang w:val="uk-UA" w:eastAsia="uk-UA"/>
              </w:rPr>
              <w:t>0,0</w:t>
            </w:r>
          </w:p>
          <w:p w14:paraId="33AA9C0C">
            <w:pPr>
              <w:spacing w:after="200" w:line="276" w:lineRule="auto"/>
              <w:jc w:val="center"/>
              <w:rPr>
                <w:lang w:val="uk-UA" w:eastAsia="uk-UA"/>
              </w:rPr>
            </w:pPr>
          </w:p>
        </w:tc>
        <w:tc>
          <w:tcPr>
            <w:tcW w:w="551" w:type="pct"/>
            <w:tcBorders>
              <w:top w:val="single" w:color="auto" w:sz="4" w:space="0"/>
              <w:left w:val="single" w:color="auto" w:sz="4" w:space="0"/>
              <w:bottom w:val="single" w:color="auto" w:sz="4" w:space="0"/>
              <w:right w:val="single" w:color="auto" w:sz="4" w:space="0"/>
            </w:tcBorders>
          </w:tcPr>
          <w:p w14:paraId="57EF7A24">
            <w:pPr>
              <w:spacing w:after="200" w:line="276" w:lineRule="auto"/>
              <w:jc w:val="center"/>
              <w:rPr>
                <w:lang w:val="uk-UA" w:eastAsia="uk-UA"/>
              </w:rPr>
            </w:pPr>
            <w:r>
              <w:rPr>
                <w:lang w:val="uk-UA" w:eastAsia="uk-UA"/>
              </w:rPr>
              <w:t>0,0</w:t>
            </w:r>
          </w:p>
        </w:tc>
      </w:tr>
      <w:tr w14:paraId="37CF2661">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5ED02F6C">
            <w:pPr>
              <w:spacing w:line="15" w:lineRule="atLeast"/>
              <w:jc w:val="center"/>
              <w:textAlignment w:val="baseline"/>
              <w:rPr>
                <w:lang w:val="uk-UA"/>
              </w:rPr>
            </w:pPr>
            <w:r>
              <w:rPr>
                <w:lang w:val="uk-UA"/>
              </w:rPr>
              <w:t>6</w:t>
            </w:r>
          </w:p>
        </w:tc>
        <w:tc>
          <w:tcPr>
            <w:tcW w:w="2188" w:type="pct"/>
            <w:tcBorders>
              <w:top w:val="single" w:color="auto" w:sz="4" w:space="0"/>
              <w:left w:val="single" w:color="auto" w:sz="4" w:space="0"/>
              <w:bottom w:val="single" w:color="auto" w:sz="4" w:space="0"/>
              <w:right w:val="single" w:color="auto" w:sz="4" w:space="0"/>
            </w:tcBorders>
          </w:tcPr>
          <w:p w14:paraId="5D5CAEA0">
            <w:pPr>
              <w:ind w:firstLine="182"/>
              <w:textAlignment w:val="baseline"/>
              <w:rPr>
                <w:b/>
                <w:lang w:val="uk-UA"/>
              </w:rPr>
            </w:pPr>
            <w:r>
              <w:rPr>
                <w:b/>
                <w:lang w:val="uk-UA"/>
              </w:rPr>
              <w:t>Разом, гривень</w:t>
            </w:r>
          </w:p>
          <w:p w14:paraId="7BFDA08C">
            <w:pPr>
              <w:ind w:firstLine="450"/>
              <w:jc w:val="both"/>
              <w:textAlignment w:val="baseline"/>
              <w:rPr>
                <w:lang w:val="uk-UA" w:eastAsia="uk-UA"/>
              </w:rPr>
            </w:pPr>
          </w:p>
        </w:tc>
        <w:tc>
          <w:tcPr>
            <w:tcW w:w="1095" w:type="pct"/>
            <w:tcBorders>
              <w:top w:val="single" w:color="auto" w:sz="4" w:space="0"/>
              <w:left w:val="single" w:color="auto" w:sz="4" w:space="0"/>
              <w:bottom w:val="single" w:color="auto" w:sz="4" w:space="0"/>
              <w:right w:val="single" w:color="auto" w:sz="4" w:space="0"/>
            </w:tcBorders>
            <w:vAlign w:val="center"/>
          </w:tcPr>
          <w:p w14:paraId="026A9738">
            <w:pPr>
              <w:spacing w:after="200" w:line="276" w:lineRule="auto"/>
              <w:jc w:val="center"/>
              <w:rPr>
                <w:lang w:val="uk-UA" w:eastAsia="uk-UA"/>
              </w:rPr>
            </w:pPr>
            <w:r>
              <w:rPr>
                <w:lang w:val="uk-UA" w:eastAsia="uk-UA"/>
              </w:rPr>
              <w:t>0,0</w:t>
            </w:r>
          </w:p>
          <w:p w14:paraId="1587A883">
            <w:pPr>
              <w:spacing w:after="200" w:line="276" w:lineRule="auto"/>
              <w:jc w:val="center"/>
              <w:rPr>
                <w:lang w:val="uk-UA" w:eastAsia="uk-UA"/>
              </w:rPr>
            </w:pPr>
          </w:p>
        </w:tc>
        <w:tc>
          <w:tcPr>
            <w:tcW w:w="742" w:type="pct"/>
            <w:gridSpan w:val="2"/>
            <w:tcBorders>
              <w:top w:val="single" w:color="auto" w:sz="4" w:space="0"/>
              <w:left w:val="single" w:color="auto" w:sz="4" w:space="0"/>
              <w:bottom w:val="single" w:color="auto" w:sz="4" w:space="0"/>
              <w:right w:val="single" w:color="auto" w:sz="4" w:space="0"/>
            </w:tcBorders>
            <w:vAlign w:val="center"/>
          </w:tcPr>
          <w:p w14:paraId="0314B24A">
            <w:pPr>
              <w:spacing w:line="15" w:lineRule="atLeast"/>
              <w:jc w:val="center"/>
              <w:textAlignment w:val="baseline"/>
              <w:rPr>
                <w:lang w:val="uk-UA"/>
              </w:rPr>
            </w:pPr>
            <w:r>
              <w:rPr>
                <w:lang w:val="uk-UA"/>
              </w:rPr>
              <w:t>Х</w:t>
            </w:r>
          </w:p>
        </w:tc>
        <w:tc>
          <w:tcPr>
            <w:tcW w:w="551" w:type="pct"/>
            <w:tcBorders>
              <w:top w:val="single" w:color="auto" w:sz="4" w:space="0"/>
              <w:left w:val="single" w:color="auto" w:sz="4" w:space="0"/>
              <w:bottom w:val="single" w:color="auto" w:sz="4" w:space="0"/>
              <w:right w:val="single" w:color="auto" w:sz="4" w:space="0"/>
            </w:tcBorders>
            <w:vAlign w:val="center"/>
          </w:tcPr>
          <w:p w14:paraId="43CF7E8D">
            <w:pPr>
              <w:spacing w:after="200" w:line="276" w:lineRule="auto"/>
              <w:jc w:val="center"/>
              <w:rPr>
                <w:lang w:val="uk-UA" w:eastAsia="uk-UA"/>
              </w:rPr>
            </w:pPr>
            <w:r>
              <w:rPr>
                <w:lang w:val="uk-UA" w:eastAsia="uk-UA"/>
              </w:rPr>
              <w:t>0,0</w:t>
            </w:r>
          </w:p>
          <w:p w14:paraId="62612ADC">
            <w:pPr>
              <w:spacing w:after="200" w:line="276" w:lineRule="auto"/>
              <w:jc w:val="center"/>
              <w:rPr>
                <w:lang w:val="uk-UA" w:eastAsia="uk-UA"/>
              </w:rPr>
            </w:pPr>
          </w:p>
        </w:tc>
      </w:tr>
      <w:tr w14:paraId="67DDF1AA">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5071E0A1">
            <w:pPr>
              <w:spacing w:line="15" w:lineRule="atLeast"/>
              <w:jc w:val="center"/>
              <w:textAlignment w:val="baseline"/>
              <w:rPr>
                <w:lang w:val="uk-UA"/>
              </w:rPr>
            </w:pPr>
            <w:r>
              <w:rPr>
                <w:lang w:val="uk-UA"/>
              </w:rPr>
              <w:t>7</w:t>
            </w:r>
          </w:p>
        </w:tc>
        <w:tc>
          <w:tcPr>
            <w:tcW w:w="2188" w:type="pct"/>
            <w:tcBorders>
              <w:top w:val="single" w:color="auto" w:sz="4" w:space="0"/>
              <w:left w:val="single" w:color="auto" w:sz="4" w:space="0"/>
              <w:bottom w:val="single" w:color="auto" w:sz="4" w:space="0"/>
              <w:right w:val="single" w:color="auto" w:sz="4" w:space="0"/>
            </w:tcBorders>
          </w:tcPr>
          <w:p w14:paraId="6DDF0922">
            <w:pPr>
              <w:spacing w:line="15" w:lineRule="atLeast"/>
              <w:ind w:left="182"/>
              <w:textAlignment w:val="baseline"/>
              <w:rPr>
                <w:b/>
                <w:lang w:val="uk-UA"/>
              </w:rPr>
            </w:pPr>
            <w:r>
              <w:rPr>
                <w:b/>
                <w:lang w:val="uk-UA"/>
              </w:rPr>
              <w:t>Кількість суб’єктів господарювання, що повинні виконати вимоги регулювання, одиниць</w:t>
            </w:r>
          </w:p>
        </w:tc>
        <w:tc>
          <w:tcPr>
            <w:tcW w:w="2388" w:type="pct"/>
            <w:gridSpan w:val="4"/>
            <w:tcBorders>
              <w:top w:val="single" w:color="auto" w:sz="4" w:space="0"/>
              <w:left w:val="single" w:color="auto" w:sz="4" w:space="0"/>
              <w:bottom w:val="single" w:color="auto" w:sz="4" w:space="0"/>
              <w:right w:val="single" w:color="auto" w:sz="4" w:space="0"/>
            </w:tcBorders>
          </w:tcPr>
          <w:p w14:paraId="0513493E">
            <w:pPr>
              <w:textAlignment w:val="baseline"/>
              <w:rPr>
                <w:lang w:val="uk-UA"/>
              </w:rPr>
            </w:pPr>
          </w:p>
          <w:p w14:paraId="36CFC6A9">
            <w:pPr>
              <w:spacing w:after="200" w:line="276" w:lineRule="auto"/>
              <w:jc w:val="center"/>
              <w:rPr>
                <w:lang w:val="uk-UA" w:eastAsia="uk-UA"/>
              </w:rPr>
            </w:pPr>
            <w:r>
              <w:rPr>
                <w:lang w:val="uk-UA" w:eastAsia="uk-UA"/>
              </w:rPr>
              <w:t>5</w:t>
            </w:r>
          </w:p>
        </w:tc>
      </w:tr>
      <w:tr w14:paraId="7E76BF0B">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2BF769AE">
            <w:pPr>
              <w:spacing w:line="15" w:lineRule="atLeast"/>
              <w:jc w:val="center"/>
              <w:textAlignment w:val="baseline"/>
              <w:rPr>
                <w:lang w:val="uk-UA"/>
              </w:rPr>
            </w:pPr>
            <w:r>
              <w:rPr>
                <w:lang w:val="uk-UA"/>
              </w:rPr>
              <w:t>8</w:t>
            </w:r>
          </w:p>
        </w:tc>
        <w:tc>
          <w:tcPr>
            <w:tcW w:w="2188" w:type="pct"/>
            <w:tcBorders>
              <w:top w:val="single" w:color="auto" w:sz="4" w:space="0"/>
              <w:left w:val="single" w:color="auto" w:sz="4" w:space="0"/>
              <w:bottom w:val="single" w:color="auto" w:sz="4" w:space="0"/>
              <w:right w:val="single" w:color="auto" w:sz="4" w:space="0"/>
            </w:tcBorders>
          </w:tcPr>
          <w:p w14:paraId="3118AA2E">
            <w:pPr>
              <w:ind w:firstLine="182"/>
              <w:textAlignment w:val="baseline"/>
              <w:rPr>
                <w:b/>
                <w:lang w:val="uk-UA"/>
              </w:rPr>
            </w:pPr>
            <w:r>
              <w:rPr>
                <w:b/>
                <w:lang w:val="uk-UA"/>
              </w:rPr>
              <w:t>Сумарно, гривень</w:t>
            </w:r>
          </w:p>
          <w:p w14:paraId="21C0AE74">
            <w:pPr>
              <w:ind w:firstLine="450"/>
              <w:jc w:val="both"/>
              <w:textAlignment w:val="baseline"/>
              <w:rPr>
                <w:lang w:val="uk-UA" w:eastAsia="uk-UA"/>
              </w:rPr>
            </w:pPr>
          </w:p>
        </w:tc>
        <w:tc>
          <w:tcPr>
            <w:tcW w:w="2388" w:type="pct"/>
            <w:gridSpan w:val="4"/>
            <w:tcBorders>
              <w:top w:val="single" w:color="auto" w:sz="4" w:space="0"/>
              <w:left w:val="single" w:color="auto" w:sz="4" w:space="0"/>
              <w:bottom w:val="single" w:color="auto" w:sz="4" w:space="0"/>
              <w:right w:val="single" w:color="auto" w:sz="4" w:space="0"/>
            </w:tcBorders>
          </w:tcPr>
          <w:p w14:paraId="1A3B9D56">
            <w:pPr>
              <w:jc w:val="center"/>
              <w:textAlignment w:val="baseline"/>
              <w:rPr>
                <w:lang w:val="uk-UA"/>
              </w:rPr>
            </w:pPr>
          </w:p>
          <w:p w14:paraId="1BDCD8D3">
            <w:pPr>
              <w:jc w:val="center"/>
              <w:textAlignment w:val="baseline"/>
              <w:rPr>
                <w:lang w:val="uk-UA"/>
              </w:rPr>
            </w:pPr>
            <w:r>
              <w:rPr>
                <w:lang w:val="uk-UA"/>
              </w:rPr>
              <w:t>5 х 0,0 = 0,0 грн.</w:t>
            </w:r>
          </w:p>
        </w:tc>
      </w:tr>
      <w:tr w14:paraId="0E238E38">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5000" w:type="pct"/>
            <w:gridSpan w:val="6"/>
            <w:tcBorders>
              <w:top w:val="single" w:color="auto" w:sz="4" w:space="0"/>
              <w:left w:val="single" w:color="auto" w:sz="4" w:space="0"/>
              <w:bottom w:val="single" w:color="auto" w:sz="4" w:space="0"/>
              <w:right w:val="single" w:color="auto" w:sz="4" w:space="0"/>
            </w:tcBorders>
          </w:tcPr>
          <w:p w14:paraId="117F4AFA">
            <w:pPr>
              <w:spacing w:line="15" w:lineRule="atLeast"/>
              <w:ind w:right="281" w:firstLine="450"/>
              <w:jc w:val="both"/>
              <w:textAlignment w:val="baseline"/>
              <w:rPr>
                <w:lang w:val="uk-UA" w:eastAsia="uk-UA"/>
              </w:rPr>
            </w:pPr>
            <w:r>
              <w:rPr>
                <w:lang w:val="uk-UA" w:eastAsia="uk-UA"/>
              </w:rPr>
              <w:t>Оцінка вартості адміністративних процедур суб’єктів малого підприємництва щодо виконання регулювання та звітування</w:t>
            </w:r>
          </w:p>
        </w:tc>
      </w:tr>
      <w:tr w14:paraId="45B2D748">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5000" w:type="pct"/>
            <w:gridSpan w:val="6"/>
            <w:tcBorders>
              <w:top w:val="single" w:color="auto" w:sz="4" w:space="0"/>
              <w:left w:val="single" w:color="auto" w:sz="4" w:space="0"/>
              <w:bottom w:val="single" w:color="auto" w:sz="4" w:space="0"/>
              <w:right w:val="single" w:color="auto" w:sz="4" w:space="0"/>
            </w:tcBorders>
          </w:tcPr>
          <w:p w14:paraId="18098E84">
            <w:pPr>
              <w:spacing w:after="150" w:line="15" w:lineRule="atLeast"/>
              <w:ind w:firstLine="450"/>
              <w:jc w:val="both"/>
              <w:textAlignment w:val="baseline"/>
              <w:rPr>
                <w:lang w:val="uk-UA" w:eastAsia="uk-UA"/>
              </w:rPr>
            </w:pPr>
            <w:r>
              <w:rPr>
                <w:lang w:val="uk-UA" w:eastAsia="uk-UA"/>
              </w:rPr>
              <w:t>Розрахунок вартості 1 людино-години:</w:t>
            </w:r>
          </w:p>
          <w:p w14:paraId="227C7508">
            <w:pPr>
              <w:spacing w:after="150" w:line="15" w:lineRule="atLeast"/>
              <w:ind w:left="185" w:right="281" w:firstLine="265"/>
              <w:jc w:val="both"/>
              <w:textAlignment w:val="baseline"/>
              <w:rPr>
                <w:lang w:val="uk-UA" w:eastAsia="uk-UA"/>
              </w:rPr>
            </w:pPr>
            <w:r>
              <w:rPr>
                <w:lang w:val="uk-UA" w:eastAsia="uk-UA"/>
              </w:rPr>
              <w:t xml:space="preserve">Норма робочого часу на 2018 рік становить при 40-годинному робочому тижні – </w:t>
            </w:r>
            <w:r>
              <w:rPr>
                <w:color w:val="000000"/>
                <w:shd w:val="clear" w:color="auto" w:fill="FFFFFF"/>
                <w:lang w:val="uk-UA" w:eastAsia="uk-UA"/>
              </w:rPr>
              <w:t xml:space="preserve">2000,0 </w:t>
            </w:r>
            <w:r>
              <w:rPr>
                <w:lang w:val="uk-UA" w:eastAsia="uk-UA"/>
              </w:rPr>
              <w:t xml:space="preserve">години. </w:t>
            </w:r>
          </w:p>
          <w:p w14:paraId="2EB9F1F9">
            <w:pPr>
              <w:spacing w:after="150" w:line="15" w:lineRule="atLeast"/>
              <w:ind w:left="185" w:right="281" w:firstLine="265"/>
              <w:jc w:val="both"/>
              <w:textAlignment w:val="baseline"/>
              <w:rPr>
                <w:lang w:val="uk-UA" w:eastAsia="uk-UA"/>
              </w:rPr>
            </w:pPr>
            <w:r>
              <w:rPr>
                <w:lang w:val="uk-UA" w:eastAsia="uk-UA"/>
              </w:rPr>
              <w:t>Використовуємо для розрахунків середньомісячну заробітну плату штатного працівника по Запорізькій області за грудень 2017 року, яка становила 8305 грн. Тобто, середня заробітна плата по Запорізькій області складала 51,90 грн. у погодинному розмірі.</w:t>
            </w:r>
          </w:p>
        </w:tc>
      </w:tr>
      <w:tr w14:paraId="0F7CAE34">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0ED4F807">
            <w:pPr>
              <w:spacing w:line="15" w:lineRule="atLeast"/>
              <w:jc w:val="center"/>
              <w:textAlignment w:val="baseline"/>
              <w:rPr>
                <w:lang w:val="uk-UA"/>
              </w:rPr>
            </w:pPr>
            <w:r>
              <w:rPr>
                <w:lang w:val="uk-UA"/>
              </w:rPr>
              <w:t>9</w:t>
            </w:r>
          </w:p>
        </w:tc>
        <w:tc>
          <w:tcPr>
            <w:tcW w:w="2188" w:type="pct"/>
            <w:tcBorders>
              <w:top w:val="single" w:color="auto" w:sz="4" w:space="0"/>
              <w:left w:val="single" w:color="auto" w:sz="4" w:space="0"/>
              <w:bottom w:val="single" w:color="auto" w:sz="4" w:space="0"/>
              <w:right w:val="single" w:color="auto" w:sz="4" w:space="0"/>
            </w:tcBorders>
          </w:tcPr>
          <w:p w14:paraId="70B62EC6">
            <w:pPr>
              <w:ind w:left="182"/>
              <w:textAlignment w:val="baseline"/>
              <w:rPr>
                <w:b/>
                <w:u w:val="single"/>
                <w:lang w:val="uk-UA"/>
              </w:rPr>
            </w:pPr>
            <w:r>
              <w:rPr>
                <w:b/>
                <w:u w:val="single"/>
                <w:lang w:val="uk-UA"/>
              </w:rPr>
              <w:t>Процедури отримання первинної інформації про вимоги регулювання</w:t>
            </w:r>
          </w:p>
          <w:p w14:paraId="25C7C60B">
            <w:pPr>
              <w:spacing w:line="15" w:lineRule="atLeast"/>
              <w:ind w:left="182"/>
              <w:textAlignment w:val="baseline"/>
              <w:rPr>
                <w:b/>
                <w:lang w:val="uk-UA"/>
              </w:rPr>
            </w:pPr>
            <w:r>
              <w:rPr>
                <w:b/>
                <w:lang w:val="uk-UA"/>
              </w:rPr>
              <w:t xml:space="preserve">Стосується 100 % суб’єктів. </w:t>
            </w:r>
          </w:p>
          <w:p w14:paraId="3CB1A7EF">
            <w:pPr>
              <w:spacing w:line="15" w:lineRule="atLeast"/>
              <w:ind w:left="302"/>
              <w:jc w:val="both"/>
              <w:textAlignment w:val="baseline"/>
              <w:rPr>
                <w:i/>
                <w:lang w:val="uk-UA"/>
              </w:rPr>
            </w:pPr>
            <w:r>
              <w:rPr>
                <w:i/>
                <w:lang w:val="uk-UA"/>
              </w:rPr>
              <w:t xml:space="preserve">витрати часу на отримання інформації про регулювання (рішення сільської ради) </w:t>
            </w:r>
          </w:p>
          <w:p w14:paraId="56F14D07">
            <w:pPr>
              <w:spacing w:line="15" w:lineRule="atLeast"/>
              <w:ind w:left="302"/>
              <w:jc w:val="both"/>
              <w:textAlignment w:val="baseline"/>
              <w:rPr>
                <w:b/>
                <w:lang w:val="uk-UA"/>
              </w:rPr>
            </w:pPr>
          </w:p>
        </w:tc>
        <w:tc>
          <w:tcPr>
            <w:tcW w:w="2388" w:type="pct"/>
            <w:gridSpan w:val="4"/>
            <w:tcBorders>
              <w:top w:val="single" w:color="auto" w:sz="4" w:space="0"/>
              <w:left w:val="single" w:color="auto" w:sz="4" w:space="0"/>
              <w:bottom w:val="single" w:color="auto" w:sz="4" w:space="0"/>
              <w:right w:val="single" w:color="auto" w:sz="4" w:space="0"/>
            </w:tcBorders>
          </w:tcPr>
          <w:p w14:paraId="4D9C568A">
            <w:pPr>
              <w:textAlignment w:val="baseline"/>
              <w:rPr>
                <w:lang w:val="uk-UA"/>
              </w:rPr>
            </w:pPr>
          </w:p>
          <w:p w14:paraId="4ADE5158">
            <w:pPr>
              <w:textAlignment w:val="baseline"/>
              <w:rPr>
                <w:lang w:val="uk-UA"/>
              </w:rPr>
            </w:pPr>
          </w:p>
          <w:p w14:paraId="2F7A8066">
            <w:pPr>
              <w:textAlignment w:val="baseline"/>
              <w:rPr>
                <w:lang w:val="uk-UA"/>
              </w:rPr>
            </w:pPr>
          </w:p>
          <w:p w14:paraId="01A4D33E">
            <w:pPr>
              <w:jc w:val="center"/>
              <w:textAlignment w:val="baseline"/>
              <w:rPr>
                <w:lang w:val="uk-UA"/>
              </w:rPr>
            </w:pPr>
            <w:r>
              <w:rPr>
                <w:lang w:val="uk-UA"/>
              </w:rPr>
              <w:t xml:space="preserve">Оціночно: </w:t>
            </w:r>
          </w:p>
          <w:p w14:paraId="0EDF5B48">
            <w:pPr>
              <w:jc w:val="center"/>
              <w:textAlignment w:val="baseline"/>
              <w:rPr>
                <w:lang w:val="uk-UA"/>
              </w:rPr>
            </w:pPr>
          </w:p>
          <w:p w14:paraId="19CDD954">
            <w:pPr>
              <w:jc w:val="center"/>
              <w:textAlignment w:val="baseline"/>
              <w:rPr>
                <w:lang w:val="uk-UA"/>
              </w:rPr>
            </w:pPr>
          </w:p>
          <w:p w14:paraId="002FEB81">
            <w:pPr>
              <w:jc w:val="center"/>
              <w:textAlignment w:val="baseline"/>
              <w:rPr>
                <w:b/>
                <w:lang w:val="uk-UA"/>
              </w:rPr>
            </w:pPr>
            <w:r>
              <w:rPr>
                <w:lang w:val="uk-UA"/>
              </w:rPr>
              <w:t xml:space="preserve">0,25 годин х 51,90 грн. = </w:t>
            </w:r>
            <w:r>
              <w:rPr>
                <w:b/>
                <w:lang w:val="uk-UA"/>
              </w:rPr>
              <w:t>12,97 грн.</w:t>
            </w:r>
          </w:p>
          <w:p w14:paraId="2E587715">
            <w:pPr>
              <w:jc w:val="center"/>
              <w:textAlignment w:val="baseline"/>
              <w:rPr>
                <w:lang w:val="uk-UA"/>
              </w:rPr>
            </w:pPr>
          </w:p>
        </w:tc>
      </w:tr>
      <w:tr w14:paraId="7B0F3969">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329BE312">
            <w:pPr>
              <w:spacing w:line="15" w:lineRule="atLeast"/>
              <w:jc w:val="center"/>
              <w:textAlignment w:val="baseline"/>
              <w:rPr>
                <w:lang w:val="uk-UA"/>
              </w:rPr>
            </w:pPr>
            <w:r>
              <w:rPr>
                <w:lang w:val="uk-UA"/>
              </w:rPr>
              <w:t>10</w:t>
            </w:r>
          </w:p>
        </w:tc>
        <w:tc>
          <w:tcPr>
            <w:tcW w:w="2188" w:type="pct"/>
            <w:tcBorders>
              <w:top w:val="single" w:color="auto" w:sz="4" w:space="0"/>
              <w:left w:val="single" w:color="auto" w:sz="4" w:space="0"/>
              <w:bottom w:val="single" w:color="auto" w:sz="4" w:space="0"/>
              <w:right w:val="single" w:color="auto" w:sz="4" w:space="0"/>
            </w:tcBorders>
          </w:tcPr>
          <w:p w14:paraId="1ED0ED78">
            <w:pPr>
              <w:ind w:left="182"/>
              <w:textAlignment w:val="baseline"/>
              <w:rPr>
                <w:b/>
                <w:u w:val="single"/>
                <w:lang w:val="uk-UA"/>
              </w:rPr>
            </w:pPr>
            <w:r>
              <w:rPr>
                <w:b/>
                <w:u w:val="single"/>
                <w:lang w:val="uk-UA"/>
              </w:rPr>
              <w:t>Процедури організації виконання вимог регулювання</w:t>
            </w:r>
          </w:p>
          <w:p w14:paraId="5F01F6EF">
            <w:pPr>
              <w:ind w:left="182"/>
              <w:textAlignment w:val="baseline"/>
              <w:rPr>
                <w:i/>
                <w:lang w:val="uk-UA"/>
              </w:rPr>
            </w:pPr>
            <w:r>
              <w:rPr>
                <w:i/>
                <w:lang w:val="uk-UA"/>
              </w:rPr>
              <w:t xml:space="preserve">Витрати часу на розроблення та впровадження внутрішніх для суб’єкта малого підприємництва  процедур на впровадження вимог регулювання </w:t>
            </w:r>
          </w:p>
          <w:p w14:paraId="5AEF29A1">
            <w:pPr>
              <w:ind w:firstLine="450"/>
              <w:jc w:val="both"/>
              <w:textAlignment w:val="baseline"/>
              <w:rPr>
                <w:b/>
                <w:lang w:val="uk-UA" w:eastAsia="uk-UA"/>
              </w:rPr>
            </w:pPr>
            <w:r>
              <w:rPr>
                <w:b/>
                <w:i/>
                <w:lang w:val="uk-UA" w:eastAsia="uk-UA"/>
              </w:rPr>
              <w:t xml:space="preserve"> </w:t>
            </w:r>
            <w:r>
              <w:rPr>
                <w:b/>
                <w:lang w:val="uk-UA" w:eastAsia="uk-UA"/>
              </w:rPr>
              <w:t>- суб’єкти господарювання</w:t>
            </w:r>
          </w:p>
          <w:p w14:paraId="3D915ED4">
            <w:pPr>
              <w:ind w:left="182"/>
              <w:textAlignment w:val="baseline"/>
              <w:rPr>
                <w:i/>
                <w:lang w:val="uk-UA"/>
              </w:rPr>
            </w:pPr>
            <w:r>
              <w:rPr>
                <w:i/>
                <w:lang w:val="uk-UA"/>
              </w:rPr>
              <w:t>(подання: заяви на укладення договору, завірені копії: установчих документів суб’єкта господарювання, декларації або дозволу або повідомлення про початок виконання будівельних робіт, містобудівний розрахунок на об’єкт будівництва або кошторисну документацію (експертний звіт кошторисної частини проектної документації), технічний паспорт на об’єкт у разі наявності)враховуємо час який затрачається на проїзд до і з Широківської сільської ради</w:t>
            </w:r>
          </w:p>
        </w:tc>
        <w:tc>
          <w:tcPr>
            <w:tcW w:w="2388" w:type="pct"/>
            <w:gridSpan w:val="4"/>
            <w:tcBorders>
              <w:top w:val="single" w:color="auto" w:sz="4" w:space="0"/>
              <w:left w:val="single" w:color="auto" w:sz="4" w:space="0"/>
              <w:bottom w:val="single" w:color="auto" w:sz="4" w:space="0"/>
              <w:right w:val="single" w:color="auto" w:sz="2" w:space="0"/>
            </w:tcBorders>
          </w:tcPr>
          <w:p w14:paraId="3BD7904C">
            <w:pPr>
              <w:jc w:val="center"/>
              <w:textAlignment w:val="baseline"/>
              <w:rPr>
                <w:lang w:val="uk-UA"/>
              </w:rPr>
            </w:pPr>
          </w:p>
          <w:p w14:paraId="2C95BB05">
            <w:pPr>
              <w:jc w:val="center"/>
              <w:textAlignment w:val="baseline"/>
              <w:rPr>
                <w:lang w:val="uk-UA"/>
              </w:rPr>
            </w:pPr>
          </w:p>
          <w:p w14:paraId="43B519AF">
            <w:pPr>
              <w:jc w:val="center"/>
              <w:textAlignment w:val="baseline"/>
              <w:rPr>
                <w:lang w:val="uk-UA"/>
              </w:rPr>
            </w:pPr>
          </w:p>
          <w:p w14:paraId="3C50CD76">
            <w:pPr>
              <w:jc w:val="center"/>
              <w:textAlignment w:val="baseline"/>
              <w:rPr>
                <w:lang w:val="uk-UA"/>
              </w:rPr>
            </w:pPr>
          </w:p>
          <w:p w14:paraId="2C1EEC54">
            <w:pPr>
              <w:jc w:val="center"/>
              <w:textAlignment w:val="baseline"/>
              <w:rPr>
                <w:lang w:val="uk-UA"/>
              </w:rPr>
            </w:pPr>
            <w:r>
              <w:rPr>
                <w:lang w:val="uk-UA"/>
              </w:rPr>
              <w:t>Оціночно:</w:t>
            </w:r>
          </w:p>
          <w:p w14:paraId="1E24BC7C">
            <w:pPr>
              <w:jc w:val="center"/>
              <w:textAlignment w:val="baseline"/>
              <w:rPr>
                <w:lang w:val="uk-UA"/>
              </w:rPr>
            </w:pPr>
          </w:p>
          <w:p w14:paraId="60351A82">
            <w:pPr>
              <w:jc w:val="center"/>
              <w:textAlignment w:val="baseline"/>
              <w:rPr>
                <w:lang w:val="uk-UA"/>
              </w:rPr>
            </w:pPr>
          </w:p>
          <w:p w14:paraId="6593C148">
            <w:pPr>
              <w:jc w:val="center"/>
              <w:textAlignment w:val="baseline"/>
              <w:rPr>
                <w:b/>
                <w:lang w:val="uk-UA"/>
              </w:rPr>
            </w:pPr>
            <w:r>
              <w:rPr>
                <w:lang w:val="uk-UA"/>
              </w:rPr>
              <w:t xml:space="preserve">2 година х 51,90 грн. = </w:t>
            </w:r>
            <w:r>
              <w:rPr>
                <w:b/>
                <w:lang w:val="uk-UA"/>
              </w:rPr>
              <w:t>103,80 грн.;</w:t>
            </w:r>
          </w:p>
          <w:p w14:paraId="0B9FA8DD">
            <w:pPr>
              <w:jc w:val="both"/>
              <w:textAlignment w:val="baseline"/>
              <w:rPr>
                <w:lang w:val="uk-UA"/>
              </w:rPr>
            </w:pPr>
          </w:p>
          <w:p w14:paraId="6B336479">
            <w:pPr>
              <w:jc w:val="center"/>
              <w:textAlignment w:val="baseline"/>
              <w:rPr>
                <w:lang w:val="uk-UA"/>
              </w:rPr>
            </w:pPr>
          </w:p>
          <w:p w14:paraId="5D8ABDCF">
            <w:pPr>
              <w:jc w:val="center"/>
              <w:textAlignment w:val="baseline"/>
              <w:rPr>
                <w:lang w:val="uk-UA"/>
              </w:rPr>
            </w:pPr>
          </w:p>
          <w:p w14:paraId="02505B34">
            <w:pPr>
              <w:jc w:val="center"/>
              <w:textAlignment w:val="baseline"/>
              <w:rPr>
                <w:lang w:val="uk-UA"/>
              </w:rPr>
            </w:pPr>
          </w:p>
          <w:p w14:paraId="119B0947">
            <w:pPr>
              <w:jc w:val="center"/>
              <w:textAlignment w:val="baseline"/>
              <w:rPr>
                <w:lang w:val="uk-UA"/>
              </w:rPr>
            </w:pPr>
          </w:p>
          <w:p w14:paraId="43999F58">
            <w:pPr>
              <w:jc w:val="center"/>
              <w:textAlignment w:val="baseline"/>
              <w:rPr>
                <w:lang w:val="uk-UA"/>
              </w:rPr>
            </w:pPr>
          </w:p>
          <w:p w14:paraId="40C78420">
            <w:pPr>
              <w:jc w:val="center"/>
              <w:textAlignment w:val="baseline"/>
              <w:rPr>
                <w:lang w:val="uk-UA"/>
              </w:rPr>
            </w:pPr>
          </w:p>
          <w:p w14:paraId="74AB189B">
            <w:pPr>
              <w:jc w:val="center"/>
              <w:textAlignment w:val="baseline"/>
              <w:rPr>
                <w:lang w:val="uk-UA"/>
              </w:rPr>
            </w:pPr>
          </w:p>
          <w:p w14:paraId="2BE624AC">
            <w:pPr>
              <w:jc w:val="center"/>
              <w:textAlignment w:val="baseline"/>
              <w:rPr>
                <w:lang w:val="uk-UA"/>
              </w:rPr>
            </w:pPr>
          </w:p>
          <w:p w14:paraId="3DDCB127">
            <w:pPr>
              <w:jc w:val="center"/>
              <w:textAlignment w:val="baseline"/>
              <w:rPr>
                <w:lang w:val="uk-UA"/>
              </w:rPr>
            </w:pPr>
          </w:p>
          <w:p w14:paraId="1E212C7C">
            <w:pPr>
              <w:jc w:val="center"/>
              <w:textAlignment w:val="baseline"/>
              <w:rPr>
                <w:lang w:val="uk-UA"/>
              </w:rPr>
            </w:pPr>
          </w:p>
          <w:p w14:paraId="40830A7C">
            <w:pPr>
              <w:jc w:val="center"/>
              <w:textAlignment w:val="baseline"/>
              <w:rPr>
                <w:lang w:val="uk-UA"/>
              </w:rPr>
            </w:pPr>
          </w:p>
          <w:p w14:paraId="7E4230F9">
            <w:pPr>
              <w:jc w:val="center"/>
              <w:textAlignment w:val="baseline"/>
              <w:rPr>
                <w:lang w:val="uk-UA"/>
              </w:rPr>
            </w:pPr>
          </w:p>
        </w:tc>
      </w:tr>
      <w:tr w14:paraId="30F37996">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40EB7D2E">
            <w:pPr>
              <w:spacing w:line="15" w:lineRule="atLeast"/>
              <w:jc w:val="center"/>
              <w:textAlignment w:val="baseline"/>
              <w:rPr>
                <w:lang w:val="uk-UA"/>
              </w:rPr>
            </w:pPr>
            <w:r>
              <w:rPr>
                <w:lang w:val="uk-UA"/>
              </w:rPr>
              <w:t>11</w:t>
            </w:r>
          </w:p>
        </w:tc>
        <w:tc>
          <w:tcPr>
            <w:tcW w:w="2188" w:type="pct"/>
            <w:tcBorders>
              <w:top w:val="single" w:color="auto" w:sz="4" w:space="0"/>
              <w:left w:val="single" w:color="auto" w:sz="4" w:space="0"/>
              <w:bottom w:val="single" w:color="auto" w:sz="4" w:space="0"/>
              <w:right w:val="single" w:color="auto" w:sz="4" w:space="0"/>
            </w:tcBorders>
          </w:tcPr>
          <w:p w14:paraId="5938B5A2">
            <w:pPr>
              <w:ind w:left="182"/>
              <w:textAlignment w:val="baseline"/>
              <w:rPr>
                <w:b/>
                <w:u w:val="single"/>
                <w:lang w:val="uk-UA"/>
              </w:rPr>
            </w:pPr>
            <w:r>
              <w:rPr>
                <w:b/>
                <w:u w:val="single"/>
                <w:lang w:val="uk-UA"/>
              </w:rPr>
              <w:t>Процедури офіційного звітування</w:t>
            </w:r>
          </w:p>
          <w:p w14:paraId="30E5D21B">
            <w:pPr>
              <w:spacing w:line="15" w:lineRule="atLeast"/>
              <w:ind w:left="182"/>
              <w:textAlignment w:val="baseline"/>
              <w:rPr>
                <w:b/>
                <w:lang w:val="uk-UA"/>
              </w:rPr>
            </w:pPr>
          </w:p>
          <w:p w14:paraId="3250BE3C">
            <w:pPr>
              <w:spacing w:line="15" w:lineRule="atLeast"/>
              <w:textAlignment w:val="baseline"/>
              <w:rPr>
                <w:b/>
                <w:lang w:val="uk-UA"/>
              </w:rPr>
            </w:pPr>
          </w:p>
        </w:tc>
        <w:tc>
          <w:tcPr>
            <w:tcW w:w="2388" w:type="pct"/>
            <w:gridSpan w:val="4"/>
            <w:tcBorders>
              <w:top w:val="single" w:color="auto" w:sz="4" w:space="0"/>
              <w:left w:val="single" w:color="auto" w:sz="4" w:space="0"/>
              <w:bottom w:val="single" w:color="auto" w:sz="4" w:space="0"/>
              <w:right w:val="single" w:color="auto" w:sz="4" w:space="0"/>
            </w:tcBorders>
          </w:tcPr>
          <w:p w14:paraId="6409B4F6">
            <w:pPr>
              <w:spacing w:after="200" w:line="276" w:lineRule="auto"/>
              <w:jc w:val="center"/>
              <w:rPr>
                <w:lang w:val="uk-UA" w:eastAsia="uk-UA"/>
              </w:rPr>
            </w:pPr>
            <w:r>
              <w:rPr>
                <w:lang w:val="uk-UA" w:eastAsia="uk-UA"/>
              </w:rPr>
              <w:t>-</w:t>
            </w:r>
          </w:p>
          <w:p w14:paraId="34BA5D65">
            <w:pPr>
              <w:ind w:firstLine="450"/>
              <w:jc w:val="both"/>
              <w:textAlignment w:val="baseline"/>
              <w:rPr>
                <w:b/>
                <w:lang w:val="uk-UA" w:eastAsia="uk-UA"/>
              </w:rPr>
            </w:pPr>
          </w:p>
        </w:tc>
      </w:tr>
      <w:tr w14:paraId="7ADD7BDC">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51D6CD39">
            <w:pPr>
              <w:spacing w:line="15" w:lineRule="atLeast"/>
              <w:jc w:val="center"/>
              <w:textAlignment w:val="baseline"/>
              <w:rPr>
                <w:lang w:val="uk-UA"/>
              </w:rPr>
            </w:pPr>
            <w:r>
              <w:rPr>
                <w:lang w:val="uk-UA"/>
              </w:rPr>
              <w:t>12</w:t>
            </w:r>
          </w:p>
        </w:tc>
        <w:tc>
          <w:tcPr>
            <w:tcW w:w="2188" w:type="pct"/>
            <w:tcBorders>
              <w:top w:val="single" w:color="auto" w:sz="4" w:space="0"/>
              <w:left w:val="single" w:color="auto" w:sz="4" w:space="0"/>
              <w:bottom w:val="single" w:color="auto" w:sz="4" w:space="0"/>
              <w:right w:val="single" w:color="auto" w:sz="4" w:space="0"/>
            </w:tcBorders>
          </w:tcPr>
          <w:p w14:paraId="4EFF8D34">
            <w:pPr>
              <w:ind w:left="182"/>
              <w:textAlignment w:val="baseline"/>
              <w:rPr>
                <w:lang w:val="uk-UA"/>
              </w:rPr>
            </w:pPr>
            <w:r>
              <w:rPr>
                <w:b/>
                <w:lang w:val="uk-UA"/>
              </w:rPr>
              <w:t>Процедури щодо забезпечення процесу перевірок</w:t>
            </w:r>
            <w:r>
              <w:rPr>
                <w:lang w:val="uk-UA"/>
              </w:rPr>
              <w:t xml:space="preserve"> </w:t>
            </w:r>
          </w:p>
          <w:p w14:paraId="18347819">
            <w:pPr>
              <w:jc w:val="both"/>
              <w:textAlignment w:val="baseline"/>
              <w:rPr>
                <w:lang w:val="uk-UA" w:eastAsia="uk-UA"/>
              </w:rPr>
            </w:pPr>
          </w:p>
        </w:tc>
        <w:tc>
          <w:tcPr>
            <w:tcW w:w="2388" w:type="pct"/>
            <w:gridSpan w:val="4"/>
            <w:tcBorders>
              <w:top w:val="single" w:color="auto" w:sz="4" w:space="0"/>
              <w:left w:val="single" w:color="auto" w:sz="4" w:space="0"/>
              <w:bottom w:val="single" w:color="auto" w:sz="4" w:space="0"/>
              <w:right w:val="single" w:color="auto" w:sz="4" w:space="0"/>
            </w:tcBorders>
          </w:tcPr>
          <w:p w14:paraId="6AA236F2">
            <w:pPr>
              <w:spacing w:after="200" w:line="276" w:lineRule="auto"/>
              <w:jc w:val="center"/>
              <w:rPr>
                <w:lang w:val="uk-UA" w:eastAsia="uk-UA"/>
              </w:rPr>
            </w:pPr>
            <w:r>
              <w:rPr>
                <w:lang w:val="uk-UA" w:eastAsia="uk-UA"/>
              </w:rPr>
              <w:t>-</w:t>
            </w:r>
          </w:p>
          <w:p w14:paraId="1B5434C7">
            <w:pPr>
              <w:jc w:val="center"/>
              <w:textAlignment w:val="baseline"/>
              <w:rPr>
                <w:lang w:val="uk-UA"/>
              </w:rPr>
            </w:pPr>
          </w:p>
        </w:tc>
      </w:tr>
      <w:tr w14:paraId="2B681956">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0831E417">
            <w:pPr>
              <w:spacing w:line="15" w:lineRule="atLeast"/>
              <w:jc w:val="center"/>
              <w:textAlignment w:val="baseline"/>
              <w:rPr>
                <w:lang w:val="uk-UA"/>
              </w:rPr>
            </w:pPr>
            <w:r>
              <w:rPr>
                <w:lang w:val="uk-UA"/>
              </w:rPr>
              <w:t>13</w:t>
            </w:r>
          </w:p>
        </w:tc>
        <w:tc>
          <w:tcPr>
            <w:tcW w:w="2188" w:type="pct"/>
            <w:tcBorders>
              <w:top w:val="single" w:color="auto" w:sz="4" w:space="0"/>
              <w:left w:val="single" w:color="auto" w:sz="4" w:space="0"/>
              <w:bottom w:val="single" w:color="auto" w:sz="4" w:space="0"/>
              <w:right w:val="single" w:color="auto" w:sz="4" w:space="0"/>
            </w:tcBorders>
          </w:tcPr>
          <w:p w14:paraId="27B678F4">
            <w:pPr>
              <w:spacing w:line="15" w:lineRule="atLeast"/>
              <w:ind w:firstLine="182"/>
              <w:textAlignment w:val="baseline"/>
              <w:rPr>
                <w:b/>
                <w:lang w:val="uk-UA"/>
              </w:rPr>
            </w:pPr>
            <w:r>
              <w:rPr>
                <w:b/>
                <w:lang w:val="uk-UA"/>
              </w:rPr>
              <w:t>Інші процедури (уточнити)</w:t>
            </w:r>
          </w:p>
          <w:p w14:paraId="6D6582B1">
            <w:pPr>
              <w:spacing w:line="15" w:lineRule="atLeast"/>
              <w:ind w:firstLine="182"/>
              <w:textAlignment w:val="baseline"/>
              <w:rPr>
                <w:i/>
                <w:lang w:val="uk-UA"/>
              </w:rPr>
            </w:pPr>
            <w:r>
              <w:rPr>
                <w:i/>
                <w:lang w:val="uk-UA"/>
              </w:rPr>
              <w:t xml:space="preserve">(витрати часу на проведення оплати </w:t>
            </w:r>
            <w:r>
              <w:rPr>
                <w:i/>
              </w:rPr>
              <w:t>пайов</w:t>
            </w:r>
            <w:r>
              <w:rPr>
                <w:i/>
                <w:lang w:val="uk-UA"/>
              </w:rPr>
              <w:t>ої</w:t>
            </w:r>
            <w:r>
              <w:rPr>
                <w:i/>
              </w:rPr>
              <w:t xml:space="preserve"> участ</w:t>
            </w:r>
            <w:r>
              <w:rPr>
                <w:i/>
                <w:lang w:val="uk-UA"/>
              </w:rPr>
              <w:t>і</w:t>
            </w:r>
            <w:r>
              <w:rPr>
                <w:i/>
              </w:rPr>
              <w:t xml:space="preserve"> замовників будівництва у створенні і розвитку інженерно-транспортної та соціальної інфраструктури міста м. Калуша</w:t>
            </w:r>
            <w:r>
              <w:rPr>
                <w:i/>
                <w:lang w:val="uk-UA"/>
              </w:rPr>
              <w:t>)</w:t>
            </w:r>
          </w:p>
        </w:tc>
        <w:tc>
          <w:tcPr>
            <w:tcW w:w="2388" w:type="pct"/>
            <w:gridSpan w:val="4"/>
            <w:tcBorders>
              <w:top w:val="single" w:color="auto" w:sz="4" w:space="0"/>
              <w:left w:val="single" w:color="auto" w:sz="4" w:space="0"/>
              <w:bottom w:val="single" w:color="auto" w:sz="4" w:space="0"/>
              <w:right w:val="single" w:color="auto" w:sz="4" w:space="0"/>
            </w:tcBorders>
          </w:tcPr>
          <w:p w14:paraId="03D40960">
            <w:pPr>
              <w:jc w:val="center"/>
              <w:textAlignment w:val="baseline"/>
              <w:rPr>
                <w:b/>
                <w:lang w:val="uk-UA"/>
              </w:rPr>
            </w:pPr>
            <w:r>
              <w:rPr>
                <w:lang w:val="uk-UA"/>
              </w:rPr>
              <w:t xml:space="preserve">0,25 годин х 51,90 грн. = </w:t>
            </w:r>
            <w:r>
              <w:rPr>
                <w:b/>
                <w:lang w:val="uk-UA"/>
              </w:rPr>
              <w:t>12,97 грн.</w:t>
            </w:r>
          </w:p>
          <w:p w14:paraId="73F09D93">
            <w:pPr>
              <w:jc w:val="center"/>
              <w:textAlignment w:val="baseline"/>
              <w:rPr>
                <w:lang w:val="uk-UA"/>
              </w:rPr>
            </w:pPr>
          </w:p>
        </w:tc>
      </w:tr>
      <w:tr w14:paraId="561D912F">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0FAEBF0F">
            <w:pPr>
              <w:spacing w:line="15" w:lineRule="atLeast"/>
              <w:jc w:val="center"/>
              <w:textAlignment w:val="baseline"/>
              <w:rPr>
                <w:lang w:val="uk-UA"/>
              </w:rPr>
            </w:pPr>
            <w:r>
              <w:rPr>
                <w:lang w:val="uk-UA"/>
              </w:rPr>
              <w:t>14</w:t>
            </w:r>
          </w:p>
        </w:tc>
        <w:tc>
          <w:tcPr>
            <w:tcW w:w="2188" w:type="pct"/>
            <w:tcBorders>
              <w:top w:val="single" w:color="auto" w:sz="4" w:space="0"/>
              <w:left w:val="single" w:color="auto" w:sz="4" w:space="0"/>
              <w:bottom w:val="single" w:color="auto" w:sz="4" w:space="0"/>
              <w:right w:val="single" w:color="auto" w:sz="4" w:space="0"/>
            </w:tcBorders>
          </w:tcPr>
          <w:p w14:paraId="32C93B55">
            <w:pPr>
              <w:ind w:firstLine="182"/>
              <w:textAlignment w:val="baseline"/>
              <w:rPr>
                <w:b/>
                <w:lang w:val="uk-UA"/>
              </w:rPr>
            </w:pPr>
            <w:r>
              <w:rPr>
                <w:b/>
                <w:lang w:val="uk-UA"/>
              </w:rPr>
              <w:t>Разом, гривень</w:t>
            </w:r>
          </w:p>
          <w:p w14:paraId="65DEF9A0">
            <w:pPr>
              <w:spacing w:line="15" w:lineRule="atLeast"/>
              <w:textAlignment w:val="baseline"/>
              <w:rPr>
                <w:lang w:val="uk-UA"/>
              </w:rPr>
            </w:pPr>
          </w:p>
        </w:tc>
        <w:tc>
          <w:tcPr>
            <w:tcW w:w="2388" w:type="pct"/>
            <w:gridSpan w:val="4"/>
            <w:tcBorders>
              <w:top w:val="single" w:color="auto" w:sz="4" w:space="0"/>
              <w:left w:val="single" w:color="auto" w:sz="4" w:space="0"/>
              <w:bottom w:val="single" w:color="auto" w:sz="4" w:space="0"/>
              <w:right w:val="single" w:color="auto" w:sz="4" w:space="0"/>
            </w:tcBorders>
          </w:tcPr>
          <w:p w14:paraId="263F1D92">
            <w:pPr>
              <w:jc w:val="both"/>
              <w:textAlignment w:val="baseline"/>
              <w:rPr>
                <w:lang w:val="uk-UA"/>
              </w:rPr>
            </w:pPr>
            <w:r>
              <w:rPr>
                <w:lang w:val="uk-UA"/>
              </w:rPr>
              <w:t xml:space="preserve"> </w:t>
            </w:r>
          </w:p>
          <w:p w14:paraId="6E63299C">
            <w:pPr>
              <w:jc w:val="center"/>
              <w:textAlignment w:val="baseline"/>
              <w:rPr>
                <w:lang w:val="uk-UA"/>
              </w:rPr>
            </w:pPr>
            <w:r>
              <w:rPr>
                <w:lang w:val="uk-UA"/>
              </w:rPr>
              <w:t xml:space="preserve">12,97+ 103,80 + 12,97 = </w:t>
            </w:r>
            <w:r>
              <w:rPr>
                <w:b/>
                <w:lang w:val="uk-UA"/>
              </w:rPr>
              <w:t>129,74 грн.</w:t>
            </w:r>
          </w:p>
        </w:tc>
      </w:tr>
      <w:tr w14:paraId="61BCBBE7">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277" w:hRule="atLeast"/>
        </w:trPr>
        <w:tc>
          <w:tcPr>
            <w:tcW w:w="423" w:type="pct"/>
            <w:tcBorders>
              <w:top w:val="single" w:color="auto" w:sz="4" w:space="0"/>
              <w:left w:val="single" w:color="auto" w:sz="4" w:space="0"/>
              <w:bottom w:val="single" w:color="auto" w:sz="4" w:space="0"/>
              <w:right w:val="single" w:color="auto" w:sz="4" w:space="0"/>
            </w:tcBorders>
          </w:tcPr>
          <w:p w14:paraId="040861BA">
            <w:pPr>
              <w:spacing w:line="15" w:lineRule="atLeast"/>
              <w:jc w:val="center"/>
              <w:textAlignment w:val="baseline"/>
              <w:rPr>
                <w:lang w:val="uk-UA"/>
              </w:rPr>
            </w:pPr>
            <w:r>
              <w:rPr>
                <w:lang w:val="uk-UA"/>
              </w:rPr>
              <w:t>15</w:t>
            </w:r>
          </w:p>
        </w:tc>
        <w:tc>
          <w:tcPr>
            <w:tcW w:w="2188" w:type="pct"/>
            <w:tcBorders>
              <w:top w:val="single" w:color="auto" w:sz="4" w:space="0"/>
              <w:left w:val="single" w:color="auto" w:sz="4" w:space="0"/>
              <w:bottom w:val="single" w:color="auto" w:sz="4" w:space="0"/>
              <w:right w:val="single" w:color="auto" w:sz="4" w:space="0"/>
            </w:tcBorders>
          </w:tcPr>
          <w:p w14:paraId="2BD4FC5B">
            <w:pPr>
              <w:spacing w:line="15" w:lineRule="atLeast"/>
              <w:ind w:left="182"/>
              <w:textAlignment w:val="baseline"/>
              <w:rPr>
                <w:b/>
                <w:lang w:val="uk-UA"/>
              </w:rPr>
            </w:pPr>
            <w:r>
              <w:rPr>
                <w:b/>
                <w:lang w:val="uk-UA"/>
              </w:rPr>
              <w:t>Кількість суб’єктів малого підприємництва, що повинні виконати вимоги регулювання, одиниць</w:t>
            </w:r>
          </w:p>
          <w:p w14:paraId="05A4DBE7">
            <w:pPr>
              <w:spacing w:line="15" w:lineRule="atLeast"/>
              <w:ind w:left="182"/>
              <w:textAlignment w:val="baseline"/>
              <w:rPr>
                <w:b/>
                <w:lang w:val="uk-UA"/>
              </w:rPr>
            </w:pPr>
          </w:p>
        </w:tc>
        <w:tc>
          <w:tcPr>
            <w:tcW w:w="2388" w:type="pct"/>
            <w:gridSpan w:val="4"/>
            <w:tcBorders>
              <w:top w:val="single" w:color="auto" w:sz="4" w:space="0"/>
              <w:left w:val="single" w:color="auto" w:sz="4" w:space="0"/>
              <w:bottom w:val="single" w:color="auto" w:sz="4" w:space="0"/>
              <w:right w:val="single" w:color="auto" w:sz="4" w:space="0"/>
            </w:tcBorders>
          </w:tcPr>
          <w:p w14:paraId="1D2E89A3">
            <w:pPr>
              <w:jc w:val="center"/>
              <w:textAlignment w:val="baseline"/>
              <w:rPr>
                <w:b/>
                <w:lang w:val="uk-UA"/>
              </w:rPr>
            </w:pPr>
          </w:p>
          <w:p w14:paraId="318C9C10">
            <w:pPr>
              <w:jc w:val="center"/>
              <w:textAlignment w:val="baseline"/>
              <w:rPr>
                <w:b/>
                <w:lang w:val="uk-UA"/>
              </w:rPr>
            </w:pPr>
          </w:p>
          <w:p w14:paraId="2AF9D64E">
            <w:pPr>
              <w:jc w:val="center"/>
              <w:textAlignment w:val="baseline"/>
              <w:rPr>
                <w:b/>
                <w:lang w:val="uk-UA"/>
              </w:rPr>
            </w:pPr>
          </w:p>
          <w:p w14:paraId="02820A46">
            <w:pPr>
              <w:jc w:val="center"/>
              <w:textAlignment w:val="baseline"/>
              <w:rPr>
                <w:lang w:val="uk-UA"/>
              </w:rPr>
            </w:pPr>
            <w:r>
              <w:rPr>
                <w:b/>
                <w:lang w:val="uk-UA"/>
              </w:rPr>
              <w:t>5</w:t>
            </w:r>
          </w:p>
        </w:tc>
      </w:tr>
      <w:tr w14:paraId="54D24158">
        <w:tblPrEx>
          <w:tblBorders>
            <w:top w:val="single" w:color="auto" w:sz="2"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trHeight w:val="15" w:hRule="atLeast"/>
        </w:trPr>
        <w:tc>
          <w:tcPr>
            <w:tcW w:w="423" w:type="pct"/>
            <w:tcBorders>
              <w:top w:val="single" w:color="auto" w:sz="4" w:space="0"/>
              <w:left w:val="single" w:color="auto" w:sz="4" w:space="0"/>
              <w:bottom w:val="single" w:color="auto" w:sz="4" w:space="0"/>
              <w:right w:val="single" w:color="auto" w:sz="4" w:space="0"/>
            </w:tcBorders>
          </w:tcPr>
          <w:p w14:paraId="04D84554">
            <w:pPr>
              <w:spacing w:line="15" w:lineRule="atLeast"/>
              <w:jc w:val="center"/>
              <w:textAlignment w:val="baseline"/>
              <w:rPr>
                <w:lang w:val="uk-UA"/>
              </w:rPr>
            </w:pPr>
            <w:r>
              <w:rPr>
                <w:lang w:val="uk-UA"/>
              </w:rPr>
              <w:t>16</w:t>
            </w:r>
          </w:p>
        </w:tc>
        <w:tc>
          <w:tcPr>
            <w:tcW w:w="2188" w:type="pct"/>
            <w:tcBorders>
              <w:top w:val="single" w:color="auto" w:sz="4" w:space="0"/>
              <w:left w:val="single" w:color="auto" w:sz="4" w:space="0"/>
              <w:bottom w:val="single" w:color="auto" w:sz="4" w:space="0"/>
              <w:right w:val="single" w:color="auto" w:sz="4" w:space="0"/>
            </w:tcBorders>
          </w:tcPr>
          <w:p w14:paraId="60EE697F">
            <w:pPr>
              <w:ind w:firstLine="182"/>
              <w:textAlignment w:val="baseline"/>
              <w:rPr>
                <w:b/>
                <w:lang w:val="uk-UA"/>
              </w:rPr>
            </w:pPr>
            <w:r>
              <w:rPr>
                <w:b/>
                <w:lang w:val="uk-UA"/>
              </w:rPr>
              <w:t>Сумарно, гривень</w:t>
            </w:r>
          </w:p>
          <w:p w14:paraId="2286C6B8">
            <w:pPr>
              <w:textAlignment w:val="baseline"/>
              <w:rPr>
                <w:b/>
                <w:lang w:val="uk-UA"/>
              </w:rPr>
            </w:pPr>
          </w:p>
          <w:p w14:paraId="3AA3B426">
            <w:pPr>
              <w:ind w:firstLine="182"/>
              <w:textAlignment w:val="baseline"/>
              <w:rPr>
                <w:b/>
                <w:lang w:val="uk-UA"/>
              </w:rPr>
            </w:pPr>
          </w:p>
        </w:tc>
        <w:tc>
          <w:tcPr>
            <w:tcW w:w="2388" w:type="pct"/>
            <w:gridSpan w:val="4"/>
            <w:tcBorders>
              <w:top w:val="single" w:color="auto" w:sz="4" w:space="0"/>
              <w:left w:val="single" w:color="auto" w:sz="4" w:space="0"/>
              <w:bottom w:val="single" w:color="auto" w:sz="4" w:space="0"/>
              <w:right w:val="single" w:color="auto" w:sz="4" w:space="0"/>
            </w:tcBorders>
          </w:tcPr>
          <w:p w14:paraId="607756B4">
            <w:pPr>
              <w:jc w:val="center"/>
              <w:textAlignment w:val="baseline"/>
              <w:rPr>
                <w:b/>
                <w:lang w:val="uk-UA"/>
              </w:rPr>
            </w:pPr>
          </w:p>
          <w:p w14:paraId="4DA98543">
            <w:pPr>
              <w:jc w:val="center"/>
              <w:textAlignment w:val="baseline"/>
              <w:rPr>
                <w:b/>
                <w:lang w:val="uk-UA"/>
              </w:rPr>
            </w:pPr>
            <w:r>
              <w:rPr>
                <w:b/>
                <w:lang w:val="uk-UA"/>
              </w:rPr>
              <w:t>129,74 х 5 = 648,70 грн.</w:t>
            </w:r>
          </w:p>
        </w:tc>
      </w:tr>
    </w:tbl>
    <w:p w14:paraId="7F5D5F53">
      <w:pPr>
        <w:rPr>
          <w:rFonts w:eastAsiaTheme="minorHAnsi"/>
          <w:b/>
          <w:lang w:val="uk-UA" w:eastAsia="en-US"/>
        </w:rPr>
      </w:pPr>
    </w:p>
    <w:p w14:paraId="794D149A">
      <w:pPr>
        <w:jc w:val="center"/>
        <w:rPr>
          <w:rFonts w:eastAsiaTheme="minorHAnsi"/>
          <w:b/>
          <w:lang w:val="uk-UA" w:eastAsia="en-US"/>
        </w:rPr>
      </w:pPr>
      <w:r>
        <w:rPr>
          <w:rFonts w:eastAsiaTheme="minorHAnsi"/>
          <w:b/>
          <w:lang w:val="uk-UA" w:eastAsia="en-US"/>
        </w:rPr>
        <w:t>Бюджетні витрати на адміністрування регулювання</w:t>
      </w:r>
      <w:r>
        <w:rPr>
          <w:rFonts w:eastAsiaTheme="minorHAnsi"/>
          <w:b/>
          <w:lang w:val="uk-UA" w:eastAsia="en-US"/>
        </w:rPr>
        <w:br w:type="textWrapping"/>
      </w:r>
      <w:r>
        <w:rPr>
          <w:rFonts w:eastAsiaTheme="minorHAnsi"/>
          <w:b/>
          <w:lang w:val="uk-UA" w:eastAsia="en-US"/>
        </w:rPr>
        <w:t>суб’єктів малого підприємництва</w:t>
      </w:r>
    </w:p>
    <w:p w14:paraId="0BF303F7">
      <w:pPr>
        <w:spacing w:before="120"/>
        <w:ind w:firstLine="565"/>
        <w:jc w:val="both"/>
        <w:rPr>
          <w:rFonts w:eastAsiaTheme="minorHAnsi"/>
          <w:lang w:val="uk-UA" w:eastAsia="en-US"/>
        </w:rPr>
      </w:pPr>
      <w:r>
        <w:rPr>
          <w:rFonts w:eastAsiaTheme="minorHAnsi"/>
          <w:lang w:val="uk-UA" w:eastAsia="en-US"/>
        </w:rPr>
        <w:t xml:space="preserve">Державний орган, для якого здійснюється розрахунок вартості адміністрування регулювання: </w:t>
      </w:r>
    </w:p>
    <w:p w14:paraId="03B44435">
      <w:pPr>
        <w:numPr>
          <w:ilvl w:val="0"/>
          <w:numId w:val="3"/>
        </w:numPr>
        <w:spacing w:before="120" w:after="200" w:line="276" w:lineRule="auto"/>
        <w:jc w:val="both"/>
        <w:rPr>
          <w:rFonts w:eastAsiaTheme="minorHAnsi"/>
          <w:lang w:val="uk-UA" w:eastAsia="en-US"/>
        </w:rPr>
      </w:pPr>
      <w:r>
        <w:rPr>
          <w:rFonts w:eastAsiaTheme="minorHAnsi"/>
          <w:b/>
          <w:u w:val="single"/>
          <w:lang w:val="uk-UA" w:eastAsia="en-US"/>
        </w:rPr>
        <w:t>Широківська сільська рада Запорізького району Запорізької області</w:t>
      </w:r>
    </w:p>
    <w:tbl>
      <w:tblPr>
        <w:tblStyle w:val="3"/>
        <w:tblW w:w="9810" w:type="dxa"/>
        <w:tblInd w:w="93" w:type="dxa"/>
        <w:tblLayout w:type="fixed"/>
        <w:tblCellMar>
          <w:top w:w="0" w:type="dxa"/>
          <w:left w:w="108" w:type="dxa"/>
          <w:bottom w:w="0" w:type="dxa"/>
          <w:right w:w="108" w:type="dxa"/>
        </w:tblCellMar>
      </w:tblPr>
      <w:tblGrid>
        <w:gridCol w:w="2567"/>
        <w:gridCol w:w="1276"/>
        <w:gridCol w:w="1559"/>
        <w:gridCol w:w="1417"/>
        <w:gridCol w:w="1276"/>
        <w:gridCol w:w="1715"/>
      </w:tblGrid>
      <w:tr w14:paraId="17299CC8">
        <w:tblPrEx>
          <w:tblCellMar>
            <w:top w:w="0" w:type="dxa"/>
            <w:left w:w="108" w:type="dxa"/>
            <w:bottom w:w="0" w:type="dxa"/>
            <w:right w:w="108" w:type="dxa"/>
          </w:tblCellMar>
        </w:tblPrEx>
        <w:trPr>
          <w:trHeight w:val="2850" w:hRule="atLeast"/>
        </w:trPr>
        <w:tc>
          <w:tcPr>
            <w:tcW w:w="2567" w:type="dxa"/>
            <w:tcBorders>
              <w:top w:val="single" w:color="auto" w:sz="4" w:space="0"/>
              <w:left w:val="single" w:color="auto" w:sz="4" w:space="0"/>
              <w:bottom w:val="single" w:color="auto" w:sz="4" w:space="0"/>
              <w:right w:val="single" w:color="auto" w:sz="4" w:space="0"/>
            </w:tcBorders>
          </w:tcPr>
          <w:p w14:paraId="7430677B">
            <w:pPr>
              <w:spacing w:after="200" w:line="276" w:lineRule="auto"/>
              <w:jc w:val="center"/>
              <w:rPr>
                <w:color w:val="000000"/>
                <w:sz w:val="20"/>
                <w:szCs w:val="20"/>
                <w:lang w:val="uk-UA" w:eastAsia="uk-UA"/>
              </w:rPr>
            </w:pPr>
            <w:r>
              <w:rPr>
                <w:color w:val="000000"/>
                <w:sz w:val="20"/>
                <w:szCs w:val="20"/>
                <w:lang w:val="uk-UA" w:eastAsia="uk-UA"/>
              </w:rPr>
              <w:t>Процедура регулювання суб’єктів великого і середнього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1276" w:type="dxa"/>
            <w:tcBorders>
              <w:top w:val="single" w:color="auto" w:sz="4" w:space="0"/>
              <w:left w:val="nil"/>
              <w:bottom w:val="single" w:color="auto" w:sz="4" w:space="0"/>
              <w:right w:val="single" w:color="auto" w:sz="4" w:space="0"/>
            </w:tcBorders>
          </w:tcPr>
          <w:p w14:paraId="7E286A0E">
            <w:pPr>
              <w:spacing w:after="200" w:line="276" w:lineRule="auto"/>
              <w:jc w:val="center"/>
              <w:rPr>
                <w:color w:val="000000"/>
                <w:sz w:val="20"/>
                <w:szCs w:val="20"/>
                <w:lang w:val="uk-UA" w:eastAsia="uk-UA"/>
              </w:rPr>
            </w:pPr>
            <w:r>
              <w:rPr>
                <w:color w:val="000000"/>
                <w:sz w:val="20"/>
                <w:szCs w:val="20"/>
                <w:lang w:val="uk-UA" w:eastAsia="uk-UA"/>
              </w:rPr>
              <w:t>Планові витрати часу на процедуру</w:t>
            </w:r>
          </w:p>
        </w:tc>
        <w:tc>
          <w:tcPr>
            <w:tcW w:w="1559" w:type="dxa"/>
            <w:tcBorders>
              <w:top w:val="single" w:color="auto" w:sz="4" w:space="0"/>
              <w:left w:val="nil"/>
              <w:bottom w:val="single" w:color="auto" w:sz="4" w:space="0"/>
              <w:right w:val="single" w:color="auto" w:sz="4" w:space="0"/>
            </w:tcBorders>
          </w:tcPr>
          <w:p w14:paraId="5C50F173">
            <w:pPr>
              <w:spacing w:after="200" w:line="276" w:lineRule="auto"/>
              <w:jc w:val="center"/>
              <w:rPr>
                <w:color w:val="000000"/>
                <w:sz w:val="20"/>
                <w:szCs w:val="20"/>
                <w:lang w:val="uk-UA" w:eastAsia="uk-UA"/>
              </w:rPr>
            </w:pPr>
            <w:r>
              <w:rPr>
                <w:color w:val="000000"/>
                <w:sz w:val="20"/>
                <w:szCs w:val="20"/>
                <w:lang w:val="uk-UA" w:eastAsia="uk-UA"/>
              </w:rPr>
              <w:t>Вартість часу співробітника органу державної влади відповідної категорії (заробітна плата)</w:t>
            </w:r>
          </w:p>
        </w:tc>
        <w:tc>
          <w:tcPr>
            <w:tcW w:w="1417" w:type="dxa"/>
            <w:tcBorders>
              <w:top w:val="single" w:color="auto" w:sz="4" w:space="0"/>
              <w:left w:val="nil"/>
              <w:bottom w:val="single" w:color="auto" w:sz="4" w:space="0"/>
              <w:right w:val="single" w:color="auto" w:sz="4" w:space="0"/>
            </w:tcBorders>
          </w:tcPr>
          <w:p w14:paraId="79BCFB30">
            <w:pPr>
              <w:spacing w:after="200" w:line="276" w:lineRule="auto"/>
              <w:jc w:val="center"/>
              <w:rPr>
                <w:color w:val="000000"/>
                <w:sz w:val="20"/>
                <w:szCs w:val="20"/>
                <w:lang w:val="uk-UA" w:eastAsia="uk-UA"/>
              </w:rPr>
            </w:pPr>
            <w:r>
              <w:rPr>
                <w:color w:val="000000"/>
                <w:sz w:val="20"/>
                <w:szCs w:val="20"/>
                <w:lang w:val="uk-UA" w:eastAsia="uk-UA"/>
              </w:rPr>
              <w:t>Оцінка кількості процедур за рік, що припадають на одного суб’єкта</w:t>
            </w:r>
          </w:p>
        </w:tc>
        <w:tc>
          <w:tcPr>
            <w:tcW w:w="1276" w:type="dxa"/>
            <w:tcBorders>
              <w:top w:val="single" w:color="auto" w:sz="4" w:space="0"/>
              <w:left w:val="nil"/>
              <w:bottom w:val="single" w:color="auto" w:sz="4" w:space="0"/>
              <w:right w:val="single" w:color="auto" w:sz="4" w:space="0"/>
            </w:tcBorders>
          </w:tcPr>
          <w:p w14:paraId="50C054C4">
            <w:pPr>
              <w:spacing w:after="200" w:line="276" w:lineRule="auto"/>
              <w:jc w:val="center"/>
              <w:rPr>
                <w:color w:val="000000"/>
                <w:sz w:val="20"/>
                <w:szCs w:val="20"/>
                <w:lang w:val="uk-UA" w:eastAsia="uk-UA"/>
              </w:rPr>
            </w:pPr>
            <w:r>
              <w:rPr>
                <w:color w:val="000000"/>
                <w:sz w:val="20"/>
                <w:szCs w:val="20"/>
                <w:lang w:val="uk-UA" w:eastAsia="uk-UA"/>
              </w:rPr>
              <w:t xml:space="preserve">Оцінка кількості  </w:t>
            </w:r>
          </w:p>
          <w:p w14:paraId="26B896A4">
            <w:pPr>
              <w:spacing w:after="200" w:line="276" w:lineRule="auto"/>
              <w:jc w:val="center"/>
              <w:rPr>
                <w:color w:val="000000"/>
                <w:sz w:val="20"/>
                <w:szCs w:val="20"/>
                <w:lang w:val="uk-UA" w:eastAsia="uk-UA"/>
              </w:rPr>
            </w:pPr>
            <w:r>
              <w:rPr>
                <w:color w:val="000000"/>
                <w:sz w:val="20"/>
                <w:szCs w:val="20"/>
                <w:lang w:val="uk-UA" w:eastAsia="uk-UA"/>
              </w:rPr>
              <w:t>суб’єктів, що підпадають під дію процедури регулювання</w:t>
            </w:r>
          </w:p>
        </w:tc>
        <w:tc>
          <w:tcPr>
            <w:tcW w:w="1715" w:type="dxa"/>
            <w:tcBorders>
              <w:top w:val="single" w:color="auto" w:sz="4" w:space="0"/>
              <w:left w:val="nil"/>
              <w:bottom w:val="single" w:color="auto" w:sz="4" w:space="0"/>
              <w:right w:val="single" w:color="auto" w:sz="4" w:space="0"/>
            </w:tcBorders>
          </w:tcPr>
          <w:p w14:paraId="23A57390">
            <w:pPr>
              <w:spacing w:after="200" w:line="276" w:lineRule="auto"/>
              <w:jc w:val="center"/>
              <w:rPr>
                <w:color w:val="000000"/>
                <w:sz w:val="20"/>
                <w:szCs w:val="20"/>
                <w:lang w:val="uk-UA" w:eastAsia="uk-UA"/>
              </w:rPr>
            </w:pPr>
            <w:r>
              <w:rPr>
                <w:color w:val="000000"/>
                <w:sz w:val="20"/>
                <w:szCs w:val="20"/>
                <w:lang w:val="uk-UA" w:eastAsia="uk-UA"/>
              </w:rPr>
              <w:t>Витрати на адміністрування регулювання* (за рік), гривень</w:t>
            </w:r>
          </w:p>
        </w:tc>
      </w:tr>
      <w:tr w14:paraId="1792D588">
        <w:tblPrEx>
          <w:tblCellMar>
            <w:top w:w="0" w:type="dxa"/>
            <w:left w:w="108" w:type="dxa"/>
            <w:bottom w:w="0" w:type="dxa"/>
            <w:right w:w="108" w:type="dxa"/>
          </w:tblCellMar>
        </w:tblPrEx>
        <w:trPr>
          <w:trHeight w:val="1260" w:hRule="atLeast"/>
        </w:trPr>
        <w:tc>
          <w:tcPr>
            <w:tcW w:w="2567" w:type="dxa"/>
            <w:tcBorders>
              <w:top w:val="nil"/>
              <w:left w:val="single" w:color="auto" w:sz="4" w:space="0"/>
              <w:bottom w:val="single" w:color="auto" w:sz="4" w:space="0"/>
              <w:right w:val="single" w:color="auto" w:sz="4" w:space="0"/>
            </w:tcBorders>
          </w:tcPr>
          <w:p w14:paraId="70E7B217">
            <w:pPr>
              <w:spacing w:after="200" w:line="276" w:lineRule="auto"/>
              <w:rPr>
                <w:color w:val="000000"/>
                <w:lang w:val="uk-UA" w:eastAsia="uk-UA"/>
              </w:rPr>
            </w:pPr>
            <w:r>
              <w:rPr>
                <w:color w:val="000000"/>
                <w:lang w:val="uk-UA" w:eastAsia="uk-UA"/>
              </w:rPr>
              <w:t>1. Облік суб’єкта господарювання, що перебуває у сфері регулювання</w:t>
            </w:r>
          </w:p>
        </w:tc>
        <w:tc>
          <w:tcPr>
            <w:tcW w:w="1276" w:type="dxa"/>
            <w:tcBorders>
              <w:top w:val="nil"/>
              <w:left w:val="nil"/>
              <w:bottom w:val="nil"/>
              <w:right w:val="single" w:color="auto" w:sz="4" w:space="0"/>
            </w:tcBorders>
          </w:tcPr>
          <w:p w14:paraId="57001816">
            <w:pPr>
              <w:spacing w:after="200" w:line="276" w:lineRule="auto"/>
              <w:jc w:val="center"/>
              <w:rPr>
                <w:color w:val="000000"/>
                <w:lang w:val="uk-UA" w:eastAsia="uk-UA"/>
              </w:rPr>
            </w:pPr>
            <w:r>
              <w:rPr>
                <w:color w:val="000000"/>
                <w:lang w:val="uk-UA" w:eastAsia="uk-UA"/>
              </w:rPr>
              <w:t>0,15</w:t>
            </w:r>
          </w:p>
        </w:tc>
        <w:tc>
          <w:tcPr>
            <w:tcW w:w="1559" w:type="dxa"/>
            <w:tcBorders>
              <w:top w:val="nil"/>
              <w:left w:val="nil"/>
              <w:bottom w:val="nil"/>
              <w:right w:val="single" w:color="auto" w:sz="4" w:space="0"/>
            </w:tcBorders>
          </w:tcPr>
          <w:p w14:paraId="6EFEDFE3">
            <w:pPr>
              <w:spacing w:after="200" w:line="276" w:lineRule="auto"/>
              <w:jc w:val="center"/>
              <w:rPr>
                <w:color w:val="000000"/>
                <w:lang w:val="uk-UA" w:eastAsia="uk-UA"/>
              </w:rPr>
            </w:pPr>
            <w:r>
              <w:rPr>
                <w:color w:val="000000"/>
                <w:lang w:val="uk-UA" w:eastAsia="uk-UA"/>
              </w:rPr>
              <w:t>57,94</w:t>
            </w:r>
          </w:p>
        </w:tc>
        <w:tc>
          <w:tcPr>
            <w:tcW w:w="1417" w:type="dxa"/>
            <w:tcBorders>
              <w:top w:val="nil"/>
              <w:left w:val="nil"/>
              <w:bottom w:val="nil"/>
              <w:right w:val="single" w:color="auto" w:sz="4" w:space="0"/>
            </w:tcBorders>
          </w:tcPr>
          <w:p w14:paraId="244E3F8C">
            <w:pPr>
              <w:spacing w:after="200" w:line="276" w:lineRule="auto"/>
              <w:jc w:val="center"/>
              <w:rPr>
                <w:color w:val="000000"/>
                <w:lang w:val="uk-UA" w:eastAsia="uk-UA"/>
              </w:rPr>
            </w:pPr>
            <w:r>
              <w:rPr>
                <w:color w:val="000000"/>
                <w:lang w:val="uk-UA" w:eastAsia="uk-UA"/>
              </w:rPr>
              <w:t xml:space="preserve"> 1</w:t>
            </w:r>
          </w:p>
        </w:tc>
        <w:tc>
          <w:tcPr>
            <w:tcW w:w="1276" w:type="dxa"/>
            <w:tcBorders>
              <w:top w:val="nil"/>
              <w:left w:val="nil"/>
              <w:bottom w:val="nil"/>
              <w:right w:val="single" w:color="auto" w:sz="4" w:space="0"/>
            </w:tcBorders>
          </w:tcPr>
          <w:p w14:paraId="3EB3E585">
            <w:pPr>
              <w:spacing w:after="200" w:line="276" w:lineRule="auto"/>
              <w:jc w:val="center"/>
              <w:rPr>
                <w:color w:val="000000"/>
                <w:lang w:val="uk-UA" w:eastAsia="uk-UA"/>
              </w:rPr>
            </w:pPr>
            <w:r>
              <w:rPr>
                <w:color w:val="000000"/>
                <w:lang w:val="uk-UA" w:eastAsia="uk-UA"/>
              </w:rPr>
              <w:t>5</w:t>
            </w:r>
          </w:p>
        </w:tc>
        <w:tc>
          <w:tcPr>
            <w:tcW w:w="1715" w:type="dxa"/>
            <w:tcBorders>
              <w:top w:val="nil"/>
              <w:left w:val="nil"/>
              <w:bottom w:val="nil"/>
              <w:right w:val="single" w:color="auto" w:sz="4" w:space="0"/>
            </w:tcBorders>
          </w:tcPr>
          <w:p w14:paraId="731B980B">
            <w:pPr>
              <w:spacing w:after="200" w:line="276" w:lineRule="auto"/>
              <w:jc w:val="center"/>
              <w:rPr>
                <w:color w:val="000000"/>
                <w:lang w:val="uk-UA" w:eastAsia="uk-UA"/>
              </w:rPr>
            </w:pPr>
            <w:r>
              <w:rPr>
                <w:color w:val="000000"/>
                <w:lang w:val="uk-UA" w:eastAsia="uk-UA"/>
              </w:rPr>
              <w:t>43,45</w:t>
            </w:r>
          </w:p>
        </w:tc>
      </w:tr>
      <w:tr w14:paraId="6751A046">
        <w:tblPrEx>
          <w:tblCellMar>
            <w:top w:w="0" w:type="dxa"/>
            <w:left w:w="108" w:type="dxa"/>
            <w:bottom w:w="0" w:type="dxa"/>
            <w:right w:w="108" w:type="dxa"/>
          </w:tblCellMar>
        </w:tblPrEx>
        <w:trPr>
          <w:trHeight w:val="2205" w:hRule="atLeast"/>
        </w:trPr>
        <w:tc>
          <w:tcPr>
            <w:tcW w:w="2567" w:type="dxa"/>
            <w:tcBorders>
              <w:top w:val="nil"/>
              <w:left w:val="single" w:color="auto" w:sz="4" w:space="0"/>
              <w:bottom w:val="single" w:color="auto" w:sz="4" w:space="0"/>
              <w:right w:val="single" w:color="auto" w:sz="4" w:space="0"/>
            </w:tcBorders>
          </w:tcPr>
          <w:p w14:paraId="5EA33461">
            <w:pPr>
              <w:spacing w:after="200" w:line="276" w:lineRule="auto"/>
              <w:rPr>
                <w:color w:val="000000"/>
                <w:lang w:val="uk-UA" w:eastAsia="uk-UA"/>
              </w:rPr>
            </w:pPr>
            <w:r>
              <w:rPr>
                <w:color w:val="000000"/>
                <w:lang w:val="uk-UA" w:eastAsia="uk-UA"/>
              </w:rPr>
              <w:t>2. Поточний контроль за суб’єктом господарювання, що перебуває у сфері регулювання, у тому числі:</w:t>
            </w:r>
          </w:p>
        </w:tc>
        <w:tc>
          <w:tcPr>
            <w:tcW w:w="1276" w:type="dxa"/>
            <w:tcBorders>
              <w:top w:val="single" w:color="auto" w:sz="4" w:space="0"/>
              <w:left w:val="nil"/>
              <w:bottom w:val="single" w:color="auto" w:sz="4" w:space="0"/>
              <w:right w:val="single" w:color="auto" w:sz="4" w:space="0"/>
            </w:tcBorders>
          </w:tcPr>
          <w:p w14:paraId="49E92E47">
            <w:pPr>
              <w:spacing w:after="200" w:line="276" w:lineRule="auto"/>
              <w:jc w:val="center"/>
              <w:rPr>
                <w:color w:val="000000"/>
                <w:lang w:val="uk-UA" w:eastAsia="uk-UA"/>
              </w:rPr>
            </w:pPr>
            <w:r>
              <w:rPr>
                <w:color w:val="000000"/>
                <w:lang w:val="uk-UA" w:eastAsia="uk-UA"/>
              </w:rPr>
              <w:t>0,1</w:t>
            </w:r>
          </w:p>
        </w:tc>
        <w:tc>
          <w:tcPr>
            <w:tcW w:w="1559" w:type="dxa"/>
            <w:tcBorders>
              <w:top w:val="single" w:color="auto" w:sz="4" w:space="0"/>
              <w:left w:val="nil"/>
              <w:bottom w:val="single" w:color="auto" w:sz="4" w:space="0"/>
              <w:right w:val="single" w:color="auto" w:sz="4" w:space="0"/>
            </w:tcBorders>
          </w:tcPr>
          <w:p w14:paraId="257D165C">
            <w:pPr>
              <w:spacing w:after="200" w:line="276" w:lineRule="auto"/>
              <w:jc w:val="center"/>
              <w:rPr>
                <w:color w:val="000000"/>
                <w:lang w:val="uk-UA" w:eastAsia="uk-UA"/>
              </w:rPr>
            </w:pPr>
            <w:r>
              <w:rPr>
                <w:color w:val="000000"/>
                <w:lang w:val="uk-UA" w:eastAsia="uk-UA"/>
              </w:rPr>
              <w:t>57,94</w:t>
            </w:r>
          </w:p>
        </w:tc>
        <w:tc>
          <w:tcPr>
            <w:tcW w:w="1417" w:type="dxa"/>
            <w:tcBorders>
              <w:top w:val="single" w:color="auto" w:sz="4" w:space="0"/>
              <w:left w:val="nil"/>
              <w:bottom w:val="single" w:color="auto" w:sz="4" w:space="0"/>
              <w:right w:val="single" w:color="auto" w:sz="4" w:space="0"/>
            </w:tcBorders>
          </w:tcPr>
          <w:p w14:paraId="2E67A17A">
            <w:pPr>
              <w:spacing w:after="200" w:line="276" w:lineRule="auto"/>
              <w:jc w:val="center"/>
              <w:rPr>
                <w:color w:val="000000"/>
                <w:lang w:val="uk-UA" w:eastAsia="uk-UA"/>
              </w:rPr>
            </w:pPr>
            <w:r>
              <w:rPr>
                <w:color w:val="000000"/>
                <w:lang w:val="uk-UA" w:eastAsia="uk-UA"/>
              </w:rPr>
              <w:t xml:space="preserve"> 1</w:t>
            </w:r>
          </w:p>
        </w:tc>
        <w:tc>
          <w:tcPr>
            <w:tcW w:w="1276" w:type="dxa"/>
            <w:tcBorders>
              <w:top w:val="single" w:color="auto" w:sz="4" w:space="0"/>
              <w:left w:val="nil"/>
              <w:bottom w:val="single" w:color="auto" w:sz="4" w:space="0"/>
              <w:right w:val="single" w:color="auto" w:sz="4" w:space="0"/>
            </w:tcBorders>
          </w:tcPr>
          <w:p w14:paraId="40C9C465">
            <w:pPr>
              <w:spacing w:after="200" w:line="276" w:lineRule="auto"/>
              <w:jc w:val="center"/>
              <w:rPr>
                <w:color w:val="000000"/>
                <w:lang w:val="uk-UA" w:eastAsia="uk-UA"/>
              </w:rPr>
            </w:pPr>
            <w:r>
              <w:rPr>
                <w:color w:val="000000"/>
                <w:lang w:val="uk-UA" w:eastAsia="uk-UA"/>
              </w:rPr>
              <w:t>5</w:t>
            </w:r>
          </w:p>
        </w:tc>
        <w:tc>
          <w:tcPr>
            <w:tcW w:w="1715" w:type="dxa"/>
            <w:tcBorders>
              <w:top w:val="single" w:color="auto" w:sz="4" w:space="0"/>
              <w:left w:val="nil"/>
              <w:bottom w:val="single" w:color="auto" w:sz="4" w:space="0"/>
              <w:right w:val="single" w:color="auto" w:sz="4" w:space="0"/>
            </w:tcBorders>
          </w:tcPr>
          <w:p w14:paraId="28CF44BE">
            <w:pPr>
              <w:spacing w:after="200" w:line="276" w:lineRule="auto"/>
              <w:jc w:val="center"/>
              <w:rPr>
                <w:color w:val="000000"/>
                <w:lang w:val="uk-UA" w:eastAsia="uk-UA"/>
              </w:rPr>
            </w:pPr>
            <w:r>
              <w:rPr>
                <w:color w:val="000000"/>
                <w:lang w:val="uk-UA" w:eastAsia="uk-UA"/>
              </w:rPr>
              <w:t>28,95</w:t>
            </w:r>
          </w:p>
        </w:tc>
      </w:tr>
      <w:tr w14:paraId="416BDCE6">
        <w:tblPrEx>
          <w:tblCellMar>
            <w:top w:w="0" w:type="dxa"/>
            <w:left w:w="108" w:type="dxa"/>
            <w:bottom w:w="0" w:type="dxa"/>
            <w:right w:w="108" w:type="dxa"/>
          </w:tblCellMar>
        </w:tblPrEx>
        <w:trPr>
          <w:trHeight w:val="315" w:hRule="atLeast"/>
        </w:trPr>
        <w:tc>
          <w:tcPr>
            <w:tcW w:w="2567" w:type="dxa"/>
            <w:tcBorders>
              <w:top w:val="nil"/>
              <w:left w:val="single" w:color="auto" w:sz="4" w:space="0"/>
              <w:bottom w:val="single" w:color="auto" w:sz="4" w:space="0"/>
              <w:right w:val="single" w:color="auto" w:sz="4" w:space="0"/>
            </w:tcBorders>
          </w:tcPr>
          <w:p w14:paraId="60804AB3">
            <w:pPr>
              <w:spacing w:after="200" w:line="276" w:lineRule="auto"/>
              <w:rPr>
                <w:color w:val="000000"/>
                <w:lang w:val="uk-UA" w:eastAsia="uk-UA"/>
              </w:rPr>
            </w:pPr>
            <w:r>
              <w:rPr>
                <w:color w:val="000000"/>
                <w:lang w:val="uk-UA" w:eastAsia="uk-UA"/>
              </w:rPr>
              <w:t>Камеральні</w:t>
            </w:r>
          </w:p>
        </w:tc>
        <w:tc>
          <w:tcPr>
            <w:tcW w:w="1276" w:type="dxa"/>
            <w:tcBorders>
              <w:top w:val="nil"/>
              <w:left w:val="nil"/>
              <w:bottom w:val="single" w:color="auto" w:sz="4" w:space="0"/>
              <w:right w:val="single" w:color="auto" w:sz="4" w:space="0"/>
            </w:tcBorders>
          </w:tcPr>
          <w:p w14:paraId="51089316">
            <w:pPr>
              <w:spacing w:after="200" w:line="276" w:lineRule="auto"/>
              <w:jc w:val="center"/>
              <w:rPr>
                <w:lang w:val="uk-UA" w:eastAsia="uk-UA"/>
              </w:rPr>
            </w:pPr>
            <w:r>
              <w:rPr>
                <w:lang w:val="uk-UA" w:eastAsia="uk-UA"/>
              </w:rPr>
              <w:t>0,1</w:t>
            </w:r>
          </w:p>
        </w:tc>
        <w:tc>
          <w:tcPr>
            <w:tcW w:w="1559" w:type="dxa"/>
            <w:tcBorders>
              <w:top w:val="nil"/>
              <w:left w:val="nil"/>
              <w:bottom w:val="single" w:color="auto" w:sz="4" w:space="0"/>
              <w:right w:val="single" w:color="auto" w:sz="4" w:space="0"/>
            </w:tcBorders>
          </w:tcPr>
          <w:p w14:paraId="2F761D20">
            <w:pPr>
              <w:spacing w:after="200" w:line="276" w:lineRule="auto"/>
              <w:jc w:val="center"/>
              <w:rPr>
                <w:color w:val="000000"/>
                <w:lang w:val="uk-UA" w:eastAsia="uk-UA"/>
              </w:rPr>
            </w:pPr>
            <w:r>
              <w:rPr>
                <w:color w:val="000000"/>
                <w:lang w:val="uk-UA" w:eastAsia="uk-UA"/>
              </w:rPr>
              <w:t>57,94</w:t>
            </w:r>
          </w:p>
        </w:tc>
        <w:tc>
          <w:tcPr>
            <w:tcW w:w="1417" w:type="dxa"/>
            <w:tcBorders>
              <w:top w:val="nil"/>
              <w:left w:val="nil"/>
              <w:bottom w:val="single" w:color="auto" w:sz="4" w:space="0"/>
              <w:right w:val="single" w:color="auto" w:sz="4" w:space="0"/>
            </w:tcBorders>
          </w:tcPr>
          <w:p w14:paraId="5EF09D9C">
            <w:pPr>
              <w:spacing w:after="200" w:line="276" w:lineRule="auto"/>
              <w:jc w:val="center"/>
              <w:rPr>
                <w:color w:val="000000"/>
                <w:lang w:val="uk-UA" w:eastAsia="uk-UA"/>
              </w:rPr>
            </w:pPr>
            <w:r>
              <w:rPr>
                <w:color w:val="000000"/>
                <w:lang w:val="uk-UA" w:eastAsia="uk-UA"/>
              </w:rPr>
              <w:t xml:space="preserve"> 1</w:t>
            </w:r>
          </w:p>
        </w:tc>
        <w:tc>
          <w:tcPr>
            <w:tcW w:w="1276" w:type="dxa"/>
            <w:tcBorders>
              <w:top w:val="nil"/>
              <w:left w:val="nil"/>
              <w:bottom w:val="single" w:color="auto" w:sz="4" w:space="0"/>
              <w:right w:val="single" w:color="auto" w:sz="4" w:space="0"/>
            </w:tcBorders>
          </w:tcPr>
          <w:p w14:paraId="0FAA7171">
            <w:pPr>
              <w:spacing w:after="200" w:line="276" w:lineRule="auto"/>
              <w:jc w:val="center"/>
              <w:rPr>
                <w:color w:val="000000"/>
                <w:lang w:val="uk-UA" w:eastAsia="uk-UA"/>
              </w:rPr>
            </w:pPr>
            <w:r>
              <w:rPr>
                <w:color w:val="000000"/>
                <w:lang w:val="uk-UA" w:eastAsia="uk-UA"/>
              </w:rPr>
              <w:t>5</w:t>
            </w:r>
          </w:p>
        </w:tc>
        <w:tc>
          <w:tcPr>
            <w:tcW w:w="1715" w:type="dxa"/>
            <w:tcBorders>
              <w:top w:val="nil"/>
              <w:left w:val="nil"/>
              <w:bottom w:val="single" w:color="auto" w:sz="4" w:space="0"/>
              <w:right w:val="single" w:color="auto" w:sz="4" w:space="0"/>
            </w:tcBorders>
          </w:tcPr>
          <w:p w14:paraId="75B546C1">
            <w:pPr>
              <w:spacing w:after="200" w:line="276" w:lineRule="auto"/>
              <w:jc w:val="center"/>
              <w:rPr>
                <w:lang w:val="uk-UA" w:eastAsia="uk-UA"/>
              </w:rPr>
            </w:pPr>
            <w:r>
              <w:rPr>
                <w:lang w:val="uk-UA" w:eastAsia="uk-UA"/>
              </w:rPr>
              <w:t>28,95</w:t>
            </w:r>
          </w:p>
        </w:tc>
      </w:tr>
      <w:tr w14:paraId="5465A97C">
        <w:tblPrEx>
          <w:tblCellMar>
            <w:top w:w="0" w:type="dxa"/>
            <w:left w:w="108" w:type="dxa"/>
            <w:bottom w:w="0" w:type="dxa"/>
            <w:right w:w="108" w:type="dxa"/>
          </w:tblCellMar>
        </w:tblPrEx>
        <w:trPr>
          <w:trHeight w:val="315" w:hRule="atLeast"/>
        </w:trPr>
        <w:tc>
          <w:tcPr>
            <w:tcW w:w="2567" w:type="dxa"/>
            <w:tcBorders>
              <w:top w:val="nil"/>
              <w:left w:val="single" w:color="auto" w:sz="4" w:space="0"/>
              <w:bottom w:val="single" w:color="auto" w:sz="4" w:space="0"/>
              <w:right w:val="single" w:color="auto" w:sz="4" w:space="0"/>
            </w:tcBorders>
          </w:tcPr>
          <w:p w14:paraId="7430E704">
            <w:pPr>
              <w:spacing w:after="200" w:line="276" w:lineRule="auto"/>
              <w:rPr>
                <w:color w:val="000000"/>
                <w:lang w:val="uk-UA" w:eastAsia="uk-UA"/>
              </w:rPr>
            </w:pPr>
            <w:r>
              <w:rPr>
                <w:color w:val="000000"/>
                <w:lang w:val="uk-UA" w:eastAsia="uk-UA"/>
              </w:rPr>
              <w:t>Виїзні</w:t>
            </w:r>
          </w:p>
        </w:tc>
        <w:tc>
          <w:tcPr>
            <w:tcW w:w="1276" w:type="dxa"/>
            <w:tcBorders>
              <w:top w:val="nil"/>
              <w:left w:val="nil"/>
              <w:bottom w:val="single" w:color="auto" w:sz="4" w:space="0"/>
              <w:right w:val="single" w:color="auto" w:sz="4" w:space="0"/>
            </w:tcBorders>
          </w:tcPr>
          <w:p w14:paraId="04B039F0">
            <w:pPr>
              <w:spacing w:after="200" w:line="276" w:lineRule="auto"/>
              <w:jc w:val="center"/>
              <w:rPr>
                <w:color w:val="000000"/>
                <w:lang w:val="uk-UA" w:eastAsia="uk-UA"/>
              </w:rPr>
            </w:pPr>
            <w:r>
              <w:rPr>
                <w:color w:val="000000"/>
                <w:lang w:val="uk-UA" w:eastAsia="uk-UA"/>
              </w:rPr>
              <w:t>-</w:t>
            </w:r>
          </w:p>
        </w:tc>
        <w:tc>
          <w:tcPr>
            <w:tcW w:w="1559" w:type="dxa"/>
            <w:tcBorders>
              <w:top w:val="nil"/>
              <w:left w:val="nil"/>
              <w:bottom w:val="single" w:color="auto" w:sz="4" w:space="0"/>
              <w:right w:val="single" w:color="auto" w:sz="4" w:space="0"/>
            </w:tcBorders>
          </w:tcPr>
          <w:p w14:paraId="6BBA1107">
            <w:pPr>
              <w:spacing w:after="200" w:line="276" w:lineRule="auto"/>
              <w:jc w:val="center"/>
              <w:rPr>
                <w:color w:val="000000"/>
                <w:lang w:val="uk-UA" w:eastAsia="uk-UA"/>
              </w:rPr>
            </w:pPr>
            <w:r>
              <w:rPr>
                <w:color w:val="000000"/>
                <w:lang w:val="uk-UA" w:eastAsia="uk-UA"/>
              </w:rPr>
              <w:t>-</w:t>
            </w:r>
          </w:p>
        </w:tc>
        <w:tc>
          <w:tcPr>
            <w:tcW w:w="1417" w:type="dxa"/>
            <w:tcBorders>
              <w:top w:val="nil"/>
              <w:left w:val="nil"/>
              <w:bottom w:val="single" w:color="auto" w:sz="4" w:space="0"/>
              <w:right w:val="single" w:color="auto" w:sz="4" w:space="0"/>
            </w:tcBorders>
          </w:tcPr>
          <w:p w14:paraId="5F1A48F0">
            <w:pPr>
              <w:spacing w:after="200" w:line="276" w:lineRule="auto"/>
              <w:jc w:val="center"/>
              <w:rPr>
                <w:color w:val="000000"/>
                <w:lang w:val="uk-UA" w:eastAsia="uk-UA"/>
              </w:rPr>
            </w:pPr>
            <w:r>
              <w:rPr>
                <w:color w:val="000000"/>
                <w:lang w:val="uk-UA" w:eastAsia="uk-UA"/>
              </w:rPr>
              <w:t>-</w:t>
            </w:r>
          </w:p>
        </w:tc>
        <w:tc>
          <w:tcPr>
            <w:tcW w:w="1276" w:type="dxa"/>
            <w:tcBorders>
              <w:top w:val="nil"/>
              <w:left w:val="nil"/>
              <w:bottom w:val="single" w:color="auto" w:sz="4" w:space="0"/>
              <w:right w:val="single" w:color="auto" w:sz="4" w:space="0"/>
            </w:tcBorders>
          </w:tcPr>
          <w:p w14:paraId="1BB3D64D">
            <w:pPr>
              <w:spacing w:after="200" w:line="276" w:lineRule="auto"/>
              <w:jc w:val="center"/>
              <w:rPr>
                <w:color w:val="000000"/>
                <w:lang w:val="uk-UA" w:eastAsia="uk-UA"/>
              </w:rPr>
            </w:pPr>
            <w:r>
              <w:rPr>
                <w:color w:val="000000"/>
                <w:lang w:val="uk-UA" w:eastAsia="uk-UA"/>
              </w:rPr>
              <w:t>-</w:t>
            </w:r>
          </w:p>
        </w:tc>
        <w:tc>
          <w:tcPr>
            <w:tcW w:w="1715" w:type="dxa"/>
            <w:tcBorders>
              <w:top w:val="nil"/>
              <w:left w:val="nil"/>
              <w:bottom w:val="single" w:color="auto" w:sz="4" w:space="0"/>
              <w:right w:val="single" w:color="auto" w:sz="4" w:space="0"/>
            </w:tcBorders>
          </w:tcPr>
          <w:p w14:paraId="5898EC09">
            <w:pPr>
              <w:spacing w:after="200" w:line="276" w:lineRule="auto"/>
              <w:jc w:val="center"/>
              <w:rPr>
                <w:color w:val="000000"/>
                <w:lang w:val="uk-UA" w:eastAsia="uk-UA"/>
              </w:rPr>
            </w:pPr>
            <w:r>
              <w:rPr>
                <w:color w:val="000000"/>
                <w:lang w:val="uk-UA" w:eastAsia="uk-UA"/>
              </w:rPr>
              <w:t>-</w:t>
            </w:r>
          </w:p>
        </w:tc>
      </w:tr>
      <w:tr w14:paraId="128C625A">
        <w:tblPrEx>
          <w:tblCellMar>
            <w:top w:w="0" w:type="dxa"/>
            <w:left w:w="108" w:type="dxa"/>
            <w:bottom w:w="0" w:type="dxa"/>
            <w:right w:w="108" w:type="dxa"/>
          </w:tblCellMar>
        </w:tblPrEx>
        <w:trPr>
          <w:trHeight w:val="2205" w:hRule="atLeast"/>
        </w:trPr>
        <w:tc>
          <w:tcPr>
            <w:tcW w:w="2567" w:type="dxa"/>
            <w:tcBorders>
              <w:top w:val="nil"/>
              <w:left w:val="single" w:color="auto" w:sz="4" w:space="0"/>
              <w:bottom w:val="single" w:color="auto" w:sz="4" w:space="0"/>
              <w:right w:val="single" w:color="auto" w:sz="4" w:space="0"/>
            </w:tcBorders>
          </w:tcPr>
          <w:p w14:paraId="19F3AEE5">
            <w:pPr>
              <w:spacing w:after="200" w:line="276" w:lineRule="auto"/>
              <w:rPr>
                <w:color w:val="000000"/>
                <w:lang w:val="uk-UA" w:eastAsia="uk-UA"/>
              </w:rPr>
            </w:pPr>
            <w:r>
              <w:rPr>
                <w:color w:val="000000"/>
                <w:lang w:val="uk-UA" w:eastAsia="uk-UA"/>
              </w:rPr>
              <w:t>3. Підготовка, затвердження та опрацювання одного окремого акта про порушення вимог регулювання</w:t>
            </w:r>
          </w:p>
        </w:tc>
        <w:tc>
          <w:tcPr>
            <w:tcW w:w="1276" w:type="dxa"/>
            <w:tcBorders>
              <w:top w:val="nil"/>
              <w:left w:val="nil"/>
              <w:bottom w:val="single" w:color="auto" w:sz="4" w:space="0"/>
              <w:right w:val="single" w:color="auto" w:sz="4" w:space="0"/>
            </w:tcBorders>
          </w:tcPr>
          <w:p w14:paraId="0F6E6ABE">
            <w:pPr>
              <w:spacing w:after="200" w:line="276" w:lineRule="auto"/>
              <w:jc w:val="center"/>
              <w:rPr>
                <w:color w:val="000000"/>
                <w:lang w:val="uk-UA" w:eastAsia="uk-UA"/>
              </w:rPr>
            </w:pPr>
            <w:r>
              <w:rPr>
                <w:color w:val="000000"/>
                <w:lang w:val="uk-UA" w:eastAsia="uk-UA"/>
              </w:rPr>
              <w:t>1</w:t>
            </w:r>
          </w:p>
        </w:tc>
        <w:tc>
          <w:tcPr>
            <w:tcW w:w="1559" w:type="dxa"/>
            <w:tcBorders>
              <w:top w:val="nil"/>
              <w:left w:val="nil"/>
              <w:bottom w:val="single" w:color="auto" w:sz="4" w:space="0"/>
              <w:right w:val="single" w:color="auto" w:sz="4" w:space="0"/>
            </w:tcBorders>
          </w:tcPr>
          <w:p w14:paraId="31297E3D">
            <w:pPr>
              <w:spacing w:after="200" w:line="276" w:lineRule="auto"/>
              <w:jc w:val="center"/>
              <w:rPr>
                <w:color w:val="000000"/>
                <w:lang w:val="uk-UA" w:eastAsia="uk-UA"/>
              </w:rPr>
            </w:pPr>
            <w:r>
              <w:rPr>
                <w:color w:val="000000"/>
                <w:lang w:val="uk-UA" w:eastAsia="uk-UA"/>
              </w:rPr>
              <w:t>57,94</w:t>
            </w:r>
          </w:p>
        </w:tc>
        <w:tc>
          <w:tcPr>
            <w:tcW w:w="1417" w:type="dxa"/>
            <w:tcBorders>
              <w:top w:val="nil"/>
              <w:left w:val="nil"/>
              <w:bottom w:val="single" w:color="auto" w:sz="4" w:space="0"/>
              <w:right w:val="single" w:color="auto" w:sz="4" w:space="0"/>
            </w:tcBorders>
          </w:tcPr>
          <w:p w14:paraId="47299C12">
            <w:pPr>
              <w:spacing w:after="200" w:line="276" w:lineRule="auto"/>
              <w:jc w:val="center"/>
              <w:rPr>
                <w:color w:val="000000"/>
                <w:lang w:val="uk-UA" w:eastAsia="uk-UA"/>
              </w:rPr>
            </w:pPr>
            <w:r>
              <w:rPr>
                <w:color w:val="000000"/>
                <w:lang w:val="uk-UA" w:eastAsia="uk-UA"/>
              </w:rPr>
              <w:t>1</w:t>
            </w:r>
          </w:p>
        </w:tc>
        <w:tc>
          <w:tcPr>
            <w:tcW w:w="1276" w:type="dxa"/>
            <w:tcBorders>
              <w:top w:val="nil"/>
              <w:left w:val="nil"/>
              <w:bottom w:val="single" w:color="auto" w:sz="4" w:space="0"/>
              <w:right w:val="single" w:color="auto" w:sz="4" w:space="0"/>
            </w:tcBorders>
          </w:tcPr>
          <w:p w14:paraId="6A1BA56A">
            <w:pPr>
              <w:spacing w:after="200" w:line="276" w:lineRule="auto"/>
              <w:jc w:val="center"/>
              <w:rPr>
                <w:color w:val="000000"/>
                <w:lang w:val="uk-UA" w:eastAsia="uk-UA"/>
              </w:rPr>
            </w:pPr>
            <w:r>
              <w:rPr>
                <w:color w:val="000000"/>
                <w:lang w:val="uk-UA" w:eastAsia="uk-UA"/>
              </w:rPr>
              <w:t>1</w:t>
            </w:r>
          </w:p>
        </w:tc>
        <w:tc>
          <w:tcPr>
            <w:tcW w:w="1715" w:type="dxa"/>
            <w:tcBorders>
              <w:top w:val="nil"/>
              <w:left w:val="nil"/>
              <w:bottom w:val="single" w:color="auto" w:sz="4" w:space="0"/>
              <w:right w:val="single" w:color="auto" w:sz="4" w:space="0"/>
            </w:tcBorders>
          </w:tcPr>
          <w:p w14:paraId="13FFE125">
            <w:pPr>
              <w:spacing w:after="200" w:line="276" w:lineRule="auto"/>
              <w:jc w:val="center"/>
              <w:rPr>
                <w:color w:val="000000"/>
                <w:lang w:val="uk-UA" w:eastAsia="uk-UA"/>
              </w:rPr>
            </w:pPr>
            <w:r>
              <w:rPr>
                <w:color w:val="000000"/>
                <w:lang w:val="uk-UA" w:eastAsia="uk-UA"/>
              </w:rPr>
              <w:t>57,94</w:t>
            </w:r>
          </w:p>
        </w:tc>
      </w:tr>
      <w:tr w14:paraId="50DDD080">
        <w:tblPrEx>
          <w:tblCellMar>
            <w:top w:w="0" w:type="dxa"/>
            <w:left w:w="108" w:type="dxa"/>
            <w:bottom w:w="0" w:type="dxa"/>
            <w:right w:w="108" w:type="dxa"/>
          </w:tblCellMar>
        </w:tblPrEx>
        <w:trPr>
          <w:trHeight w:val="1575" w:hRule="atLeast"/>
        </w:trPr>
        <w:tc>
          <w:tcPr>
            <w:tcW w:w="2567" w:type="dxa"/>
            <w:tcBorders>
              <w:top w:val="nil"/>
              <w:left w:val="single" w:color="auto" w:sz="4" w:space="0"/>
              <w:bottom w:val="single" w:color="auto" w:sz="4" w:space="0"/>
              <w:right w:val="single" w:color="auto" w:sz="4" w:space="0"/>
            </w:tcBorders>
          </w:tcPr>
          <w:p w14:paraId="1DA5F2F0">
            <w:pPr>
              <w:spacing w:after="200" w:line="276" w:lineRule="auto"/>
              <w:rPr>
                <w:color w:val="000000"/>
                <w:lang w:val="uk-UA" w:eastAsia="uk-UA"/>
              </w:rPr>
            </w:pPr>
            <w:r>
              <w:rPr>
                <w:color w:val="000000"/>
                <w:lang w:val="uk-UA" w:eastAsia="uk-UA"/>
              </w:rPr>
              <w:t>4. Реалізація одного окремого рішення щодо порушення вимог регулювання:</w:t>
            </w:r>
          </w:p>
        </w:tc>
        <w:tc>
          <w:tcPr>
            <w:tcW w:w="1276" w:type="dxa"/>
            <w:tcBorders>
              <w:top w:val="nil"/>
              <w:left w:val="nil"/>
              <w:bottom w:val="single" w:color="auto" w:sz="4" w:space="0"/>
              <w:right w:val="single" w:color="auto" w:sz="4" w:space="0"/>
            </w:tcBorders>
          </w:tcPr>
          <w:p w14:paraId="27F42295">
            <w:pPr>
              <w:spacing w:after="200" w:line="276" w:lineRule="auto"/>
              <w:jc w:val="center"/>
              <w:rPr>
                <w:color w:val="000000"/>
                <w:lang w:val="uk-UA" w:eastAsia="uk-UA"/>
              </w:rPr>
            </w:pPr>
            <w:r>
              <w:rPr>
                <w:color w:val="000000"/>
                <w:lang w:val="uk-UA" w:eastAsia="uk-UA"/>
              </w:rPr>
              <w:t>8</w:t>
            </w:r>
          </w:p>
        </w:tc>
        <w:tc>
          <w:tcPr>
            <w:tcW w:w="1559" w:type="dxa"/>
            <w:tcBorders>
              <w:top w:val="nil"/>
              <w:left w:val="nil"/>
              <w:bottom w:val="single" w:color="auto" w:sz="4" w:space="0"/>
              <w:right w:val="single" w:color="auto" w:sz="4" w:space="0"/>
            </w:tcBorders>
          </w:tcPr>
          <w:p w14:paraId="5B5A3B8F">
            <w:pPr>
              <w:spacing w:after="200" w:line="276" w:lineRule="auto"/>
              <w:jc w:val="center"/>
              <w:rPr>
                <w:color w:val="000000"/>
                <w:lang w:val="uk-UA" w:eastAsia="uk-UA"/>
              </w:rPr>
            </w:pPr>
            <w:r>
              <w:rPr>
                <w:color w:val="000000"/>
                <w:lang w:val="uk-UA" w:eastAsia="uk-UA"/>
              </w:rPr>
              <w:t>57,94</w:t>
            </w:r>
          </w:p>
        </w:tc>
        <w:tc>
          <w:tcPr>
            <w:tcW w:w="1417" w:type="dxa"/>
            <w:tcBorders>
              <w:top w:val="nil"/>
              <w:left w:val="nil"/>
              <w:bottom w:val="single" w:color="auto" w:sz="4" w:space="0"/>
              <w:right w:val="single" w:color="auto" w:sz="4" w:space="0"/>
            </w:tcBorders>
          </w:tcPr>
          <w:p w14:paraId="449EB943">
            <w:pPr>
              <w:spacing w:after="200" w:line="276" w:lineRule="auto"/>
              <w:jc w:val="center"/>
              <w:rPr>
                <w:color w:val="000000"/>
                <w:lang w:val="uk-UA" w:eastAsia="uk-UA"/>
              </w:rPr>
            </w:pPr>
            <w:r>
              <w:rPr>
                <w:color w:val="000000"/>
                <w:lang w:val="uk-UA" w:eastAsia="uk-UA"/>
              </w:rPr>
              <w:t>1</w:t>
            </w:r>
          </w:p>
        </w:tc>
        <w:tc>
          <w:tcPr>
            <w:tcW w:w="1276" w:type="dxa"/>
            <w:tcBorders>
              <w:top w:val="nil"/>
              <w:left w:val="nil"/>
              <w:bottom w:val="single" w:color="auto" w:sz="4" w:space="0"/>
              <w:right w:val="single" w:color="auto" w:sz="4" w:space="0"/>
            </w:tcBorders>
          </w:tcPr>
          <w:p w14:paraId="0B4D230E">
            <w:pPr>
              <w:spacing w:after="200" w:line="276" w:lineRule="auto"/>
              <w:jc w:val="center"/>
              <w:rPr>
                <w:color w:val="000000"/>
                <w:lang w:val="uk-UA" w:eastAsia="uk-UA"/>
              </w:rPr>
            </w:pPr>
            <w:r>
              <w:rPr>
                <w:color w:val="000000"/>
                <w:lang w:val="uk-UA" w:eastAsia="uk-UA"/>
              </w:rPr>
              <w:t>1</w:t>
            </w:r>
          </w:p>
        </w:tc>
        <w:tc>
          <w:tcPr>
            <w:tcW w:w="1715" w:type="dxa"/>
            <w:tcBorders>
              <w:top w:val="nil"/>
              <w:left w:val="nil"/>
              <w:bottom w:val="single" w:color="auto" w:sz="4" w:space="0"/>
              <w:right w:val="single" w:color="auto" w:sz="4" w:space="0"/>
            </w:tcBorders>
          </w:tcPr>
          <w:p w14:paraId="25B86431">
            <w:pPr>
              <w:spacing w:after="200" w:line="276" w:lineRule="auto"/>
              <w:jc w:val="center"/>
              <w:rPr>
                <w:color w:val="000000"/>
                <w:lang w:val="uk-UA" w:eastAsia="uk-UA"/>
              </w:rPr>
            </w:pPr>
            <w:r>
              <w:rPr>
                <w:color w:val="000000"/>
                <w:lang w:val="uk-UA" w:eastAsia="uk-UA"/>
              </w:rPr>
              <w:t>463,52</w:t>
            </w:r>
          </w:p>
        </w:tc>
      </w:tr>
      <w:tr w14:paraId="1495DDEC">
        <w:tblPrEx>
          <w:tblCellMar>
            <w:top w:w="0" w:type="dxa"/>
            <w:left w:w="108" w:type="dxa"/>
            <w:bottom w:w="0" w:type="dxa"/>
            <w:right w:w="108" w:type="dxa"/>
          </w:tblCellMar>
        </w:tblPrEx>
        <w:trPr>
          <w:trHeight w:val="1575" w:hRule="atLeast"/>
        </w:trPr>
        <w:tc>
          <w:tcPr>
            <w:tcW w:w="2567" w:type="dxa"/>
            <w:tcBorders>
              <w:top w:val="nil"/>
              <w:left w:val="single" w:color="auto" w:sz="4" w:space="0"/>
              <w:bottom w:val="single" w:color="auto" w:sz="4" w:space="0"/>
              <w:right w:val="single" w:color="auto" w:sz="4" w:space="0"/>
            </w:tcBorders>
          </w:tcPr>
          <w:p w14:paraId="5558FF98">
            <w:pPr>
              <w:spacing w:after="200" w:line="276" w:lineRule="auto"/>
              <w:rPr>
                <w:color w:val="000000"/>
                <w:lang w:val="uk-UA" w:eastAsia="uk-UA"/>
              </w:rPr>
            </w:pPr>
            <w:r>
              <w:rPr>
                <w:color w:val="000000"/>
                <w:lang w:val="uk-UA" w:eastAsia="uk-UA"/>
              </w:rPr>
              <w:t>5. Оскарження одного окремого рішення суб’єктами господарювання</w:t>
            </w:r>
          </w:p>
        </w:tc>
        <w:tc>
          <w:tcPr>
            <w:tcW w:w="1276" w:type="dxa"/>
            <w:tcBorders>
              <w:top w:val="nil"/>
              <w:left w:val="nil"/>
              <w:bottom w:val="single" w:color="auto" w:sz="4" w:space="0"/>
              <w:right w:val="single" w:color="auto" w:sz="4" w:space="0"/>
            </w:tcBorders>
          </w:tcPr>
          <w:p w14:paraId="52C97026">
            <w:pPr>
              <w:spacing w:after="200" w:line="276" w:lineRule="auto"/>
              <w:jc w:val="center"/>
              <w:rPr>
                <w:color w:val="000000"/>
                <w:lang w:val="uk-UA" w:eastAsia="uk-UA"/>
              </w:rPr>
            </w:pPr>
            <w:r>
              <w:rPr>
                <w:color w:val="000000"/>
                <w:lang w:val="uk-UA" w:eastAsia="uk-UA"/>
              </w:rPr>
              <w:t>4</w:t>
            </w:r>
          </w:p>
        </w:tc>
        <w:tc>
          <w:tcPr>
            <w:tcW w:w="1559" w:type="dxa"/>
            <w:tcBorders>
              <w:top w:val="nil"/>
              <w:left w:val="nil"/>
              <w:bottom w:val="single" w:color="auto" w:sz="4" w:space="0"/>
              <w:right w:val="single" w:color="auto" w:sz="4" w:space="0"/>
            </w:tcBorders>
          </w:tcPr>
          <w:p w14:paraId="3579DF37">
            <w:pPr>
              <w:spacing w:after="200" w:line="276" w:lineRule="auto"/>
              <w:jc w:val="center"/>
              <w:rPr>
                <w:color w:val="000000"/>
                <w:lang w:val="uk-UA" w:eastAsia="uk-UA"/>
              </w:rPr>
            </w:pPr>
            <w:r>
              <w:rPr>
                <w:color w:val="000000"/>
                <w:lang w:val="uk-UA" w:eastAsia="uk-UA"/>
              </w:rPr>
              <w:t>57,94</w:t>
            </w:r>
          </w:p>
        </w:tc>
        <w:tc>
          <w:tcPr>
            <w:tcW w:w="1417" w:type="dxa"/>
            <w:tcBorders>
              <w:top w:val="nil"/>
              <w:left w:val="nil"/>
              <w:bottom w:val="single" w:color="auto" w:sz="4" w:space="0"/>
              <w:right w:val="single" w:color="auto" w:sz="4" w:space="0"/>
            </w:tcBorders>
          </w:tcPr>
          <w:p w14:paraId="0CE21963">
            <w:pPr>
              <w:spacing w:after="200" w:line="276" w:lineRule="auto"/>
              <w:jc w:val="center"/>
              <w:rPr>
                <w:color w:val="000000"/>
                <w:lang w:val="uk-UA" w:eastAsia="uk-UA"/>
              </w:rPr>
            </w:pPr>
            <w:r>
              <w:rPr>
                <w:color w:val="000000"/>
                <w:lang w:val="uk-UA" w:eastAsia="uk-UA"/>
              </w:rPr>
              <w:t>1</w:t>
            </w:r>
          </w:p>
        </w:tc>
        <w:tc>
          <w:tcPr>
            <w:tcW w:w="1276" w:type="dxa"/>
            <w:tcBorders>
              <w:top w:val="nil"/>
              <w:left w:val="nil"/>
              <w:bottom w:val="single" w:color="auto" w:sz="4" w:space="0"/>
              <w:right w:val="single" w:color="auto" w:sz="4" w:space="0"/>
            </w:tcBorders>
          </w:tcPr>
          <w:p w14:paraId="0CF3B926">
            <w:pPr>
              <w:spacing w:after="200" w:line="276" w:lineRule="auto"/>
              <w:jc w:val="center"/>
              <w:rPr>
                <w:color w:val="000000"/>
                <w:lang w:val="uk-UA" w:eastAsia="uk-UA"/>
              </w:rPr>
            </w:pPr>
            <w:r>
              <w:rPr>
                <w:color w:val="000000"/>
                <w:lang w:val="uk-UA" w:eastAsia="uk-UA"/>
              </w:rPr>
              <w:t>1</w:t>
            </w:r>
          </w:p>
        </w:tc>
        <w:tc>
          <w:tcPr>
            <w:tcW w:w="1715" w:type="dxa"/>
            <w:tcBorders>
              <w:top w:val="nil"/>
              <w:left w:val="nil"/>
              <w:bottom w:val="single" w:color="auto" w:sz="4" w:space="0"/>
              <w:right w:val="single" w:color="auto" w:sz="4" w:space="0"/>
            </w:tcBorders>
          </w:tcPr>
          <w:p w14:paraId="3A5595EA">
            <w:pPr>
              <w:spacing w:after="200" w:line="276" w:lineRule="auto"/>
              <w:jc w:val="center"/>
              <w:rPr>
                <w:color w:val="000000"/>
                <w:lang w:val="uk-UA" w:eastAsia="uk-UA"/>
              </w:rPr>
            </w:pPr>
            <w:r>
              <w:rPr>
                <w:color w:val="000000"/>
                <w:lang w:val="uk-UA" w:eastAsia="uk-UA"/>
              </w:rPr>
              <w:t>231,76</w:t>
            </w:r>
          </w:p>
        </w:tc>
      </w:tr>
      <w:tr w14:paraId="4992DC3B">
        <w:tblPrEx>
          <w:tblCellMar>
            <w:top w:w="0" w:type="dxa"/>
            <w:left w:w="108" w:type="dxa"/>
            <w:bottom w:w="0" w:type="dxa"/>
            <w:right w:w="108" w:type="dxa"/>
          </w:tblCellMar>
        </w:tblPrEx>
        <w:trPr>
          <w:trHeight w:val="1260" w:hRule="atLeast"/>
        </w:trPr>
        <w:tc>
          <w:tcPr>
            <w:tcW w:w="2567" w:type="dxa"/>
            <w:tcBorders>
              <w:top w:val="nil"/>
              <w:left w:val="single" w:color="auto" w:sz="4" w:space="0"/>
              <w:bottom w:val="nil"/>
              <w:right w:val="single" w:color="auto" w:sz="4" w:space="0"/>
            </w:tcBorders>
          </w:tcPr>
          <w:p w14:paraId="0092EA37">
            <w:pPr>
              <w:spacing w:after="200" w:line="276" w:lineRule="auto"/>
              <w:rPr>
                <w:color w:val="000000"/>
                <w:lang w:val="uk-UA" w:eastAsia="uk-UA"/>
              </w:rPr>
            </w:pPr>
            <w:r>
              <w:rPr>
                <w:color w:val="000000"/>
                <w:lang w:val="uk-UA" w:eastAsia="uk-UA"/>
              </w:rPr>
              <w:t>6. Підготовка звітності за результатами регулювання</w:t>
            </w:r>
          </w:p>
        </w:tc>
        <w:tc>
          <w:tcPr>
            <w:tcW w:w="1276" w:type="dxa"/>
            <w:tcBorders>
              <w:top w:val="nil"/>
              <w:left w:val="nil"/>
              <w:bottom w:val="nil"/>
              <w:right w:val="single" w:color="auto" w:sz="4" w:space="0"/>
            </w:tcBorders>
          </w:tcPr>
          <w:p w14:paraId="0B796B4C">
            <w:pPr>
              <w:spacing w:after="200" w:line="276" w:lineRule="auto"/>
              <w:jc w:val="center"/>
              <w:rPr>
                <w:color w:val="000000"/>
                <w:lang w:val="uk-UA" w:eastAsia="uk-UA"/>
              </w:rPr>
            </w:pPr>
            <w:r>
              <w:rPr>
                <w:color w:val="000000"/>
                <w:lang w:val="uk-UA" w:eastAsia="uk-UA"/>
              </w:rPr>
              <w:t>0,20</w:t>
            </w:r>
          </w:p>
        </w:tc>
        <w:tc>
          <w:tcPr>
            <w:tcW w:w="1559" w:type="dxa"/>
            <w:tcBorders>
              <w:top w:val="nil"/>
              <w:left w:val="nil"/>
              <w:bottom w:val="nil"/>
              <w:right w:val="single" w:color="auto" w:sz="4" w:space="0"/>
            </w:tcBorders>
          </w:tcPr>
          <w:p w14:paraId="205AC825">
            <w:pPr>
              <w:spacing w:after="200" w:line="276" w:lineRule="auto"/>
              <w:jc w:val="center"/>
              <w:rPr>
                <w:color w:val="000000"/>
                <w:lang w:val="uk-UA" w:eastAsia="uk-UA"/>
              </w:rPr>
            </w:pPr>
            <w:r>
              <w:rPr>
                <w:color w:val="000000"/>
                <w:lang w:val="uk-UA" w:eastAsia="uk-UA"/>
              </w:rPr>
              <w:t>57,94</w:t>
            </w:r>
          </w:p>
        </w:tc>
        <w:tc>
          <w:tcPr>
            <w:tcW w:w="1417" w:type="dxa"/>
            <w:tcBorders>
              <w:top w:val="nil"/>
              <w:left w:val="nil"/>
              <w:bottom w:val="nil"/>
              <w:right w:val="single" w:color="auto" w:sz="4" w:space="0"/>
            </w:tcBorders>
          </w:tcPr>
          <w:p w14:paraId="36028BD2">
            <w:pPr>
              <w:spacing w:after="200" w:line="276" w:lineRule="auto"/>
              <w:jc w:val="center"/>
              <w:rPr>
                <w:color w:val="000000"/>
                <w:lang w:val="uk-UA" w:eastAsia="uk-UA"/>
              </w:rPr>
            </w:pPr>
            <w:r>
              <w:rPr>
                <w:color w:val="000000"/>
                <w:lang w:val="uk-UA" w:eastAsia="uk-UA"/>
              </w:rPr>
              <w:t>1</w:t>
            </w:r>
          </w:p>
        </w:tc>
        <w:tc>
          <w:tcPr>
            <w:tcW w:w="1276" w:type="dxa"/>
            <w:tcBorders>
              <w:top w:val="nil"/>
              <w:left w:val="nil"/>
              <w:bottom w:val="nil"/>
              <w:right w:val="single" w:color="auto" w:sz="4" w:space="0"/>
            </w:tcBorders>
          </w:tcPr>
          <w:p w14:paraId="411493B6">
            <w:pPr>
              <w:spacing w:after="200" w:line="276" w:lineRule="auto"/>
              <w:jc w:val="center"/>
              <w:rPr>
                <w:color w:val="000000"/>
                <w:lang w:val="uk-UA" w:eastAsia="uk-UA"/>
              </w:rPr>
            </w:pPr>
            <w:r>
              <w:rPr>
                <w:color w:val="000000"/>
                <w:lang w:val="uk-UA" w:eastAsia="uk-UA"/>
              </w:rPr>
              <w:t>5</w:t>
            </w:r>
          </w:p>
        </w:tc>
        <w:tc>
          <w:tcPr>
            <w:tcW w:w="1715" w:type="dxa"/>
            <w:tcBorders>
              <w:top w:val="nil"/>
              <w:left w:val="nil"/>
              <w:bottom w:val="nil"/>
              <w:right w:val="single" w:color="auto" w:sz="4" w:space="0"/>
            </w:tcBorders>
          </w:tcPr>
          <w:p w14:paraId="0C6B1C40">
            <w:pPr>
              <w:spacing w:after="200" w:line="276" w:lineRule="auto"/>
              <w:jc w:val="center"/>
              <w:rPr>
                <w:color w:val="000000"/>
                <w:lang w:val="uk-UA" w:eastAsia="uk-UA"/>
              </w:rPr>
            </w:pPr>
            <w:r>
              <w:rPr>
                <w:color w:val="000000"/>
                <w:lang w:val="uk-UA" w:eastAsia="uk-UA"/>
              </w:rPr>
              <w:t>11,58</w:t>
            </w:r>
          </w:p>
        </w:tc>
      </w:tr>
      <w:tr w14:paraId="39C7C37D">
        <w:tblPrEx>
          <w:tblCellMar>
            <w:top w:w="0" w:type="dxa"/>
            <w:left w:w="108" w:type="dxa"/>
            <w:bottom w:w="0" w:type="dxa"/>
            <w:right w:w="108" w:type="dxa"/>
          </w:tblCellMar>
        </w:tblPrEx>
        <w:trPr>
          <w:trHeight w:val="1260" w:hRule="atLeast"/>
        </w:trPr>
        <w:tc>
          <w:tcPr>
            <w:tcW w:w="2567" w:type="dxa"/>
            <w:tcBorders>
              <w:top w:val="single" w:color="auto" w:sz="4" w:space="0"/>
              <w:left w:val="single" w:color="auto" w:sz="4" w:space="0"/>
              <w:bottom w:val="single" w:color="auto" w:sz="4" w:space="0"/>
              <w:right w:val="single" w:color="auto" w:sz="4" w:space="0"/>
            </w:tcBorders>
          </w:tcPr>
          <w:p w14:paraId="6BA5CE89">
            <w:pPr>
              <w:spacing w:after="200" w:line="276" w:lineRule="auto"/>
              <w:rPr>
                <w:color w:val="000000"/>
                <w:lang w:val="uk-UA" w:eastAsia="uk-UA"/>
              </w:rPr>
            </w:pPr>
            <w:r>
              <w:rPr>
                <w:color w:val="000000"/>
                <w:lang w:val="uk-UA" w:eastAsia="uk-UA"/>
              </w:rPr>
              <w:t>7. Інші адміністративні процедури (уточнити):</w:t>
            </w:r>
          </w:p>
        </w:tc>
        <w:tc>
          <w:tcPr>
            <w:tcW w:w="1276" w:type="dxa"/>
            <w:tcBorders>
              <w:top w:val="single" w:color="auto" w:sz="4" w:space="0"/>
              <w:left w:val="nil"/>
              <w:bottom w:val="single" w:color="auto" w:sz="4" w:space="0"/>
              <w:right w:val="single" w:color="auto" w:sz="4" w:space="0"/>
            </w:tcBorders>
          </w:tcPr>
          <w:p w14:paraId="6E4F668F">
            <w:pPr>
              <w:spacing w:after="200" w:line="276" w:lineRule="auto"/>
              <w:jc w:val="center"/>
              <w:rPr>
                <w:color w:val="000000"/>
                <w:lang w:val="uk-UA" w:eastAsia="uk-UA"/>
              </w:rPr>
            </w:pPr>
            <w:r>
              <w:rPr>
                <w:color w:val="000000"/>
                <w:lang w:val="uk-UA" w:eastAsia="uk-UA"/>
              </w:rPr>
              <w:t>-</w:t>
            </w:r>
          </w:p>
        </w:tc>
        <w:tc>
          <w:tcPr>
            <w:tcW w:w="1559" w:type="dxa"/>
            <w:tcBorders>
              <w:top w:val="single" w:color="auto" w:sz="4" w:space="0"/>
              <w:left w:val="nil"/>
              <w:bottom w:val="single" w:color="auto" w:sz="4" w:space="0"/>
              <w:right w:val="single" w:color="auto" w:sz="4" w:space="0"/>
            </w:tcBorders>
          </w:tcPr>
          <w:p w14:paraId="23D8954B">
            <w:pPr>
              <w:spacing w:after="200" w:line="276" w:lineRule="auto"/>
              <w:jc w:val="center"/>
              <w:rPr>
                <w:color w:val="000000"/>
                <w:lang w:val="uk-UA" w:eastAsia="uk-UA"/>
              </w:rPr>
            </w:pPr>
            <w:r>
              <w:rPr>
                <w:color w:val="000000"/>
                <w:lang w:val="uk-UA" w:eastAsia="uk-UA"/>
              </w:rPr>
              <w:t>-</w:t>
            </w:r>
          </w:p>
        </w:tc>
        <w:tc>
          <w:tcPr>
            <w:tcW w:w="1417" w:type="dxa"/>
            <w:tcBorders>
              <w:top w:val="single" w:color="auto" w:sz="4" w:space="0"/>
              <w:left w:val="nil"/>
              <w:bottom w:val="single" w:color="auto" w:sz="4" w:space="0"/>
              <w:right w:val="single" w:color="auto" w:sz="4" w:space="0"/>
            </w:tcBorders>
          </w:tcPr>
          <w:p w14:paraId="25C3A878">
            <w:pPr>
              <w:spacing w:after="200" w:line="276" w:lineRule="auto"/>
              <w:jc w:val="center"/>
              <w:rPr>
                <w:color w:val="000000"/>
                <w:lang w:val="uk-UA" w:eastAsia="uk-UA"/>
              </w:rPr>
            </w:pPr>
            <w:r>
              <w:rPr>
                <w:color w:val="000000"/>
                <w:lang w:val="uk-UA" w:eastAsia="uk-UA"/>
              </w:rPr>
              <w:t>-</w:t>
            </w:r>
          </w:p>
        </w:tc>
        <w:tc>
          <w:tcPr>
            <w:tcW w:w="1276" w:type="dxa"/>
            <w:tcBorders>
              <w:top w:val="single" w:color="auto" w:sz="4" w:space="0"/>
              <w:left w:val="nil"/>
              <w:bottom w:val="single" w:color="auto" w:sz="4" w:space="0"/>
              <w:right w:val="single" w:color="auto" w:sz="4" w:space="0"/>
            </w:tcBorders>
          </w:tcPr>
          <w:p w14:paraId="24721A2D">
            <w:pPr>
              <w:spacing w:after="200" w:line="276" w:lineRule="auto"/>
              <w:jc w:val="center"/>
              <w:rPr>
                <w:color w:val="000000"/>
                <w:lang w:val="uk-UA" w:eastAsia="uk-UA"/>
              </w:rPr>
            </w:pPr>
            <w:r>
              <w:rPr>
                <w:color w:val="000000"/>
                <w:lang w:val="uk-UA" w:eastAsia="uk-UA"/>
              </w:rPr>
              <w:t>-</w:t>
            </w:r>
          </w:p>
        </w:tc>
        <w:tc>
          <w:tcPr>
            <w:tcW w:w="1715" w:type="dxa"/>
            <w:tcBorders>
              <w:top w:val="single" w:color="auto" w:sz="4" w:space="0"/>
              <w:left w:val="nil"/>
              <w:bottom w:val="single" w:color="auto" w:sz="4" w:space="0"/>
              <w:right w:val="single" w:color="auto" w:sz="4" w:space="0"/>
            </w:tcBorders>
          </w:tcPr>
          <w:p w14:paraId="02BA5458">
            <w:pPr>
              <w:spacing w:after="200" w:line="276" w:lineRule="auto"/>
              <w:jc w:val="center"/>
              <w:rPr>
                <w:color w:val="000000"/>
                <w:lang w:val="uk-UA" w:eastAsia="uk-UA"/>
              </w:rPr>
            </w:pPr>
            <w:r>
              <w:rPr>
                <w:color w:val="000000"/>
                <w:lang w:val="uk-UA" w:eastAsia="uk-UA"/>
              </w:rPr>
              <w:t>-</w:t>
            </w:r>
          </w:p>
        </w:tc>
      </w:tr>
      <w:tr w14:paraId="1C51AF95">
        <w:tblPrEx>
          <w:tblCellMar>
            <w:top w:w="0" w:type="dxa"/>
            <w:left w:w="108" w:type="dxa"/>
            <w:bottom w:w="0" w:type="dxa"/>
            <w:right w:w="108" w:type="dxa"/>
          </w:tblCellMar>
        </w:tblPrEx>
        <w:trPr>
          <w:trHeight w:val="315" w:hRule="atLeast"/>
        </w:trPr>
        <w:tc>
          <w:tcPr>
            <w:tcW w:w="2567" w:type="dxa"/>
            <w:tcBorders>
              <w:top w:val="nil"/>
              <w:left w:val="single" w:color="auto" w:sz="4" w:space="0"/>
              <w:bottom w:val="single" w:color="auto" w:sz="4" w:space="0"/>
              <w:right w:val="single" w:color="auto" w:sz="4" w:space="0"/>
            </w:tcBorders>
          </w:tcPr>
          <w:p w14:paraId="34727515">
            <w:pPr>
              <w:spacing w:after="200" w:line="276" w:lineRule="auto"/>
              <w:rPr>
                <w:color w:val="000000"/>
                <w:lang w:val="uk-UA" w:eastAsia="uk-UA"/>
              </w:rPr>
            </w:pPr>
            <w:r>
              <w:rPr>
                <w:color w:val="000000"/>
                <w:lang w:val="uk-UA" w:eastAsia="uk-UA"/>
              </w:rPr>
              <w:t>Разом за рік:</w:t>
            </w:r>
          </w:p>
        </w:tc>
        <w:tc>
          <w:tcPr>
            <w:tcW w:w="1276" w:type="dxa"/>
            <w:tcBorders>
              <w:top w:val="nil"/>
              <w:left w:val="nil"/>
              <w:bottom w:val="single" w:color="auto" w:sz="4" w:space="0"/>
              <w:right w:val="single" w:color="auto" w:sz="4" w:space="0"/>
            </w:tcBorders>
          </w:tcPr>
          <w:p w14:paraId="7C85FD43">
            <w:pPr>
              <w:spacing w:after="200" w:line="276" w:lineRule="auto"/>
              <w:jc w:val="center"/>
              <w:rPr>
                <w:color w:val="000000"/>
                <w:lang w:val="uk-UA" w:eastAsia="uk-UA"/>
              </w:rPr>
            </w:pPr>
            <w:r>
              <w:rPr>
                <w:color w:val="000000"/>
                <w:lang w:val="uk-UA" w:eastAsia="uk-UA"/>
              </w:rPr>
              <w:t>Х</w:t>
            </w:r>
          </w:p>
        </w:tc>
        <w:tc>
          <w:tcPr>
            <w:tcW w:w="1559" w:type="dxa"/>
            <w:tcBorders>
              <w:top w:val="nil"/>
              <w:left w:val="nil"/>
              <w:bottom w:val="single" w:color="auto" w:sz="4" w:space="0"/>
              <w:right w:val="single" w:color="auto" w:sz="4" w:space="0"/>
            </w:tcBorders>
          </w:tcPr>
          <w:p w14:paraId="4F3BA8CD">
            <w:pPr>
              <w:spacing w:after="200" w:line="276" w:lineRule="auto"/>
              <w:jc w:val="center"/>
              <w:rPr>
                <w:color w:val="000000"/>
                <w:lang w:val="uk-UA" w:eastAsia="uk-UA"/>
              </w:rPr>
            </w:pPr>
            <w:r>
              <w:rPr>
                <w:color w:val="000000"/>
                <w:lang w:val="uk-UA" w:eastAsia="uk-UA"/>
              </w:rPr>
              <w:t>Х</w:t>
            </w:r>
          </w:p>
        </w:tc>
        <w:tc>
          <w:tcPr>
            <w:tcW w:w="1417" w:type="dxa"/>
            <w:tcBorders>
              <w:top w:val="nil"/>
              <w:left w:val="nil"/>
              <w:bottom w:val="single" w:color="auto" w:sz="4" w:space="0"/>
              <w:right w:val="single" w:color="auto" w:sz="4" w:space="0"/>
            </w:tcBorders>
          </w:tcPr>
          <w:p w14:paraId="42E1999F">
            <w:pPr>
              <w:spacing w:after="200" w:line="276" w:lineRule="auto"/>
              <w:jc w:val="center"/>
              <w:rPr>
                <w:color w:val="000000"/>
                <w:lang w:val="uk-UA" w:eastAsia="uk-UA"/>
              </w:rPr>
            </w:pPr>
            <w:r>
              <w:rPr>
                <w:color w:val="000000"/>
                <w:lang w:val="uk-UA" w:eastAsia="uk-UA"/>
              </w:rPr>
              <w:t>Х</w:t>
            </w:r>
          </w:p>
        </w:tc>
        <w:tc>
          <w:tcPr>
            <w:tcW w:w="1276" w:type="dxa"/>
            <w:tcBorders>
              <w:top w:val="nil"/>
              <w:left w:val="nil"/>
              <w:bottom w:val="single" w:color="auto" w:sz="4" w:space="0"/>
              <w:right w:val="single" w:color="auto" w:sz="4" w:space="0"/>
            </w:tcBorders>
          </w:tcPr>
          <w:p w14:paraId="2EA51D7B">
            <w:pPr>
              <w:spacing w:after="200" w:line="276" w:lineRule="auto"/>
              <w:jc w:val="center"/>
              <w:rPr>
                <w:color w:val="000000"/>
                <w:lang w:val="uk-UA" w:eastAsia="uk-UA"/>
              </w:rPr>
            </w:pPr>
            <w:r>
              <w:rPr>
                <w:color w:val="000000"/>
                <w:lang w:val="uk-UA" w:eastAsia="uk-UA"/>
              </w:rPr>
              <w:t>Х</w:t>
            </w:r>
          </w:p>
        </w:tc>
        <w:tc>
          <w:tcPr>
            <w:tcW w:w="1715" w:type="dxa"/>
            <w:tcBorders>
              <w:top w:val="nil"/>
              <w:left w:val="nil"/>
              <w:bottom w:val="single" w:color="auto" w:sz="4" w:space="0"/>
              <w:right w:val="single" w:color="auto" w:sz="4" w:space="0"/>
            </w:tcBorders>
          </w:tcPr>
          <w:p w14:paraId="432D613E">
            <w:pPr>
              <w:spacing w:after="200" w:line="276" w:lineRule="auto"/>
              <w:jc w:val="center"/>
              <w:rPr>
                <w:color w:val="000000"/>
                <w:lang w:val="uk-UA" w:eastAsia="uk-UA"/>
              </w:rPr>
            </w:pPr>
            <w:r>
              <w:rPr>
                <w:color w:val="000000"/>
                <w:lang w:val="uk-UA" w:eastAsia="uk-UA"/>
              </w:rPr>
              <w:t>866,15</w:t>
            </w:r>
          </w:p>
        </w:tc>
      </w:tr>
      <w:tr w14:paraId="74057400">
        <w:tblPrEx>
          <w:tblCellMar>
            <w:top w:w="0" w:type="dxa"/>
            <w:left w:w="108" w:type="dxa"/>
            <w:bottom w:w="0" w:type="dxa"/>
            <w:right w:w="108" w:type="dxa"/>
          </w:tblCellMar>
        </w:tblPrEx>
        <w:trPr>
          <w:trHeight w:val="630" w:hRule="atLeast"/>
        </w:trPr>
        <w:tc>
          <w:tcPr>
            <w:tcW w:w="2567" w:type="dxa"/>
            <w:tcBorders>
              <w:top w:val="nil"/>
              <w:left w:val="single" w:color="auto" w:sz="4" w:space="0"/>
              <w:bottom w:val="single" w:color="auto" w:sz="4" w:space="0"/>
              <w:right w:val="single" w:color="auto" w:sz="4" w:space="0"/>
            </w:tcBorders>
          </w:tcPr>
          <w:p w14:paraId="0DB10336">
            <w:pPr>
              <w:spacing w:after="200" w:line="276" w:lineRule="auto"/>
              <w:rPr>
                <w:color w:val="000000"/>
                <w:lang w:val="uk-UA" w:eastAsia="uk-UA"/>
              </w:rPr>
            </w:pPr>
            <w:r>
              <w:rPr>
                <w:color w:val="000000"/>
                <w:lang w:val="uk-UA" w:eastAsia="uk-UA"/>
              </w:rPr>
              <w:t>Сумарно за п’ять років</w:t>
            </w:r>
          </w:p>
        </w:tc>
        <w:tc>
          <w:tcPr>
            <w:tcW w:w="1276" w:type="dxa"/>
            <w:tcBorders>
              <w:top w:val="nil"/>
              <w:left w:val="nil"/>
              <w:bottom w:val="single" w:color="auto" w:sz="4" w:space="0"/>
              <w:right w:val="single" w:color="auto" w:sz="4" w:space="0"/>
            </w:tcBorders>
          </w:tcPr>
          <w:p w14:paraId="7D4F083C">
            <w:pPr>
              <w:spacing w:after="200" w:line="276" w:lineRule="auto"/>
              <w:jc w:val="center"/>
              <w:rPr>
                <w:color w:val="000000"/>
                <w:lang w:val="uk-UA" w:eastAsia="uk-UA"/>
              </w:rPr>
            </w:pPr>
            <w:r>
              <w:rPr>
                <w:color w:val="000000"/>
                <w:lang w:val="uk-UA" w:eastAsia="uk-UA"/>
              </w:rPr>
              <w:t>Х</w:t>
            </w:r>
          </w:p>
        </w:tc>
        <w:tc>
          <w:tcPr>
            <w:tcW w:w="1559" w:type="dxa"/>
            <w:tcBorders>
              <w:top w:val="nil"/>
              <w:left w:val="nil"/>
              <w:bottom w:val="single" w:color="auto" w:sz="4" w:space="0"/>
              <w:right w:val="single" w:color="auto" w:sz="4" w:space="0"/>
            </w:tcBorders>
          </w:tcPr>
          <w:p w14:paraId="0C6DA0B8">
            <w:pPr>
              <w:spacing w:after="200" w:line="276" w:lineRule="auto"/>
              <w:jc w:val="center"/>
              <w:rPr>
                <w:color w:val="000000"/>
                <w:lang w:val="uk-UA" w:eastAsia="uk-UA"/>
              </w:rPr>
            </w:pPr>
            <w:r>
              <w:rPr>
                <w:color w:val="000000"/>
                <w:lang w:val="uk-UA" w:eastAsia="uk-UA"/>
              </w:rPr>
              <w:t>Х</w:t>
            </w:r>
          </w:p>
        </w:tc>
        <w:tc>
          <w:tcPr>
            <w:tcW w:w="1417" w:type="dxa"/>
            <w:tcBorders>
              <w:top w:val="nil"/>
              <w:left w:val="nil"/>
              <w:bottom w:val="single" w:color="auto" w:sz="4" w:space="0"/>
              <w:right w:val="single" w:color="auto" w:sz="4" w:space="0"/>
            </w:tcBorders>
          </w:tcPr>
          <w:p w14:paraId="2215BB9A">
            <w:pPr>
              <w:spacing w:after="200" w:line="276" w:lineRule="auto"/>
              <w:jc w:val="center"/>
              <w:rPr>
                <w:color w:val="000000"/>
                <w:lang w:val="uk-UA" w:eastAsia="uk-UA"/>
              </w:rPr>
            </w:pPr>
            <w:r>
              <w:rPr>
                <w:color w:val="000000"/>
                <w:lang w:val="uk-UA" w:eastAsia="uk-UA"/>
              </w:rPr>
              <w:t>Х</w:t>
            </w:r>
          </w:p>
        </w:tc>
        <w:tc>
          <w:tcPr>
            <w:tcW w:w="1276" w:type="dxa"/>
            <w:tcBorders>
              <w:top w:val="nil"/>
              <w:left w:val="nil"/>
              <w:bottom w:val="single" w:color="auto" w:sz="4" w:space="0"/>
              <w:right w:val="single" w:color="auto" w:sz="4" w:space="0"/>
            </w:tcBorders>
          </w:tcPr>
          <w:p w14:paraId="13F2EB6C">
            <w:pPr>
              <w:spacing w:after="200" w:line="276" w:lineRule="auto"/>
              <w:jc w:val="center"/>
              <w:rPr>
                <w:color w:val="000000"/>
                <w:lang w:val="uk-UA" w:eastAsia="uk-UA"/>
              </w:rPr>
            </w:pPr>
            <w:r>
              <w:rPr>
                <w:color w:val="000000"/>
                <w:lang w:val="uk-UA" w:eastAsia="uk-UA"/>
              </w:rPr>
              <w:t>Х</w:t>
            </w:r>
          </w:p>
        </w:tc>
        <w:tc>
          <w:tcPr>
            <w:tcW w:w="1715" w:type="dxa"/>
            <w:tcBorders>
              <w:top w:val="nil"/>
              <w:left w:val="nil"/>
              <w:bottom w:val="single" w:color="auto" w:sz="4" w:space="0"/>
              <w:right w:val="single" w:color="auto" w:sz="4" w:space="0"/>
            </w:tcBorders>
          </w:tcPr>
          <w:p w14:paraId="6AAB864B">
            <w:pPr>
              <w:spacing w:after="200" w:line="276" w:lineRule="auto"/>
              <w:jc w:val="center"/>
              <w:rPr>
                <w:color w:val="000000"/>
                <w:lang w:val="uk-UA" w:eastAsia="uk-UA"/>
              </w:rPr>
            </w:pPr>
            <w:r>
              <w:rPr>
                <w:color w:val="000000"/>
                <w:lang w:val="uk-UA" w:eastAsia="uk-UA"/>
              </w:rPr>
              <w:t>4330,75</w:t>
            </w:r>
          </w:p>
        </w:tc>
      </w:tr>
    </w:tbl>
    <w:p w14:paraId="4ECBDE99">
      <w:pPr>
        <w:rPr>
          <w:rFonts w:eastAsia="Calibri"/>
          <w:b/>
          <w:u w:val="single"/>
          <w:lang w:val="uk-UA"/>
        </w:rPr>
      </w:pPr>
    </w:p>
    <w:p w14:paraId="26B541B0">
      <w:pPr>
        <w:spacing w:after="200" w:line="276" w:lineRule="auto"/>
        <w:jc w:val="both"/>
        <w:rPr>
          <w:lang w:val="uk-UA" w:eastAsia="uk-UA"/>
        </w:rPr>
      </w:pPr>
      <w:r>
        <w:rPr>
          <w:lang w:val="uk-UA" w:eastAsia="uk-UA"/>
        </w:rPr>
        <w:t xml:space="preserve">   *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4447166E">
      <w:pPr>
        <w:spacing w:after="200" w:line="276" w:lineRule="auto"/>
        <w:contextualSpacing/>
        <w:jc w:val="both"/>
        <w:rPr>
          <w:lang w:val="uk-UA" w:eastAsia="uk-UA"/>
        </w:rPr>
      </w:pPr>
      <w:r>
        <w:rPr>
          <w:lang w:val="uk-UA" w:eastAsia="uk-UA"/>
        </w:rPr>
        <w:t>Джерела:  розрахунки проведені відділом бухгалтерського обліку та звітності на підставі фактичних витрат часу на адміністрування та із застосуванням середньої заробітної плати працівників управління згідно діючого штатного розпису , яка складала 9270,40 грн.</w:t>
      </w:r>
    </w:p>
    <w:p w14:paraId="0A0DD689">
      <w:pPr>
        <w:spacing w:before="120" w:after="240"/>
        <w:ind w:firstLine="567"/>
        <w:jc w:val="both"/>
        <w:rPr>
          <w:rFonts w:eastAsiaTheme="minorHAnsi"/>
          <w:b/>
          <w:lang w:val="uk-UA" w:eastAsia="en-US"/>
        </w:rPr>
      </w:pPr>
      <w:r>
        <w:rPr>
          <w:rFonts w:eastAsiaTheme="minorHAnsi"/>
          <w:b/>
          <w:lang w:val="uk-UA" w:eastAsia="en-US"/>
        </w:rPr>
        <w:t>4. Розрахунок сумарних витрат суб’єктів малого підприємництва, що виникають на виконання вимог регулювання</w:t>
      </w:r>
    </w:p>
    <w:tbl>
      <w:tblPr>
        <w:tblStyle w:val="3"/>
        <w:tblW w:w="952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3370"/>
        <w:gridCol w:w="2401"/>
        <w:gridCol w:w="2276"/>
      </w:tblGrid>
      <w:tr w14:paraId="76ED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78" w:type="dxa"/>
            <w:tcBorders>
              <w:top w:val="single" w:color="auto" w:sz="4" w:space="0"/>
              <w:left w:val="single" w:color="auto" w:sz="4" w:space="0"/>
              <w:bottom w:val="single" w:color="auto" w:sz="4" w:space="0"/>
              <w:right w:val="single" w:color="auto" w:sz="4" w:space="0"/>
            </w:tcBorders>
            <w:vAlign w:val="center"/>
          </w:tcPr>
          <w:p w14:paraId="41F77E04">
            <w:pPr>
              <w:spacing w:before="60" w:line="228" w:lineRule="auto"/>
              <w:ind w:left="-72" w:right="-80"/>
              <w:jc w:val="center"/>
              <w:rPr>
                <w:rFonts w:eastAsiaTheme="minorHAnsi"/>
                <w:lang w:val="uk-UA" w:eastAsia="en-US"/>
              </w:rPr>
            </w:pPr>
            <w:r>
              <w:rPr>
                <w:rFonts w:eastAsiaTheme="minorHAnsi"/>
                <w:lang w:val="uk-UA" w:eastAsia="en-US"/>
              </w:rPr>
              <w:t>Порядковий номер</w:t>
            </w:r>
          </w:p>
        </w:tc>
        <w:tc>
          <w:tcPr>
            <w:tcW w:w="3371" w:type="dxa"/>
            <w:tcBorders>
              <w:top w:val="single" w:color="auto" w:sz="4" w:space="0"/>
              <w:left w:val="single" w:color="auto" w:sz="4" w:space="0"/>
              <w:bottom w:val="single" w:color="auto" w:sz="4" w:space="0"/>
              <w:right w:val="single" w:color="auto" w:sz="4" w:space="0"/>
            </w:tcBorders>
            <w:vAlign w:val="center"/>
          </w:tcPr>
          <w:p w14:paraId="44D4FC14">
            <w:pPr>
              <w:spacing w:before="60" w:line="228" w:lineRule="auto"/>
              <w:jc w:val="center"/>
              <w:rPr>
                <w:rFonts w:eastAsiaTheme="minorHAnsi"/>
                <w:lang w:val="uk-UA" w:eastAsia="en-US"/>
              </w:rPr>
            </w:pPr>
            <w:r>
              <w:rPr>
                <w:rFonts w:eastAsiaTheme="minorHAnsi"/>
                <w:lang w:val="uk-UA" w:eastAsia="en-US"/>
              </w:rPr>
              <w:t xml:space="preserve">Показник </w:t>
            </w:r>
          </w:p>
        </w:tc>
        <w:tc>
          <w:tcPr>
            <w:tcW w:w="2402" w:type="dxa"/>
            <w:tcBorders>
              <w:top w:val="single" w:color="auto" w:sz="4" w:space="0"/>
              <w:left w:val="single" w:color="auto" w:sz="4" w:space="0"/>
              <w:bottom w:val="single" w:color="auto" w:sz="4" w:space="0"/>
              <w:right w:val="single" w:color="auto" w:sz="4" w:space="0"/>
            </w:tcBorders>
            <w:vAlign w:val="center"/>
          </w:tcPr>
          <w:p w14:paraId="45A02F6F">
            <w:pPr>
              <w:spacing w:before="60" w:line="228" w:lineRule="auto"/>
              <w:jc w:val="center"/>
              <w:rPr>
                <w:rFonts w:eastAsiaTheme="minorHAnsi"/>
                <w:lang w:val="uk-UA" w:eastAsia="en-US"/>
              </w:rPr>
            </w:pPr>
            <w:r>
              <w:rPr>
                <w:rFonts w:eastAsiaTheme="minorHAnsi"/>
                <w:lang w:val="uk-UA" w:eastAsia="en-US"/>
              </w:rPr>
              <w:t>Перший рік регулювання (стартовий)</w:t>
            </w:r>
          </w:p>
        </w:tc>
        <w:tc>
          <w:tcPr>
            <w:tcW w:w="2277" w:type="dxa"/>
            <w:tcBorders>
              <w:top w:val="single" w:color="auto" w:sz="4" w:space="0"/>
              <w:left w:val="single" w:color="auto" w:sz="4" w:space="0"/>
              <w:bottom w:val="single" w:color="auto" w:sz="4" w:space="0"/>
              <w:right w:val="single" w:color="auto" w:sz="4" w:space="0"/>
            </w:tcBorders>
            <w:vAlign w:val="center"/>
          </w:tcPr>
          <w:p w14:paraId="4A5F892D">
            <w:pPr>
              <w:spacing w:before="60" w:line="228" w:lineRule="auto"/>
              <w:jc w:val="center"/>
              <w:rPr>
                <w:rFonts w:eastAsiaTheme="minorHAnsi"/>
                <w:lang w:val="uk-UA" w:eastAsia="en-US"/>
              </w:rPr>
            </w:pPr>
            <w:r>
              <w:rPr>
                <w:rFonts w:eastAsiaTheme="minorHAnsi"/>
                <w:lang w:val="uk-UA" w:eastAsia="en-US"/>
              </w:rPr>
              <w:t>За п’ять років</w:t>
            </w:r>
          </w:p>
        </w:tc>
      </w:tr>
      <w:tr w14:paraId="2009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 w:type="dxa"/>
            <w:tcBorders>
              <w:top w:val="single" w:color="auto" w:sz="4" w:space="0"/>
              <w:left w:val="single" w:color="auto" w:sz="4" w:space="0"/>
              <w:bottom w:val="single" w:color="auto" w:sz="4" w:space="0"/>
              <w:right w:val="single" w:color="auto" w:sz="4" w:space="0"/>
            </w:tcBorders>
          </w:tcPr>
          <w:p w14:paraId="07FF42CF">
            <w:pPr>
              <w:spacing w:before="60" w:line="228" w:lineRule="auto"/>
              <w:ind w:left="-72" w:right="-80"/>
              <w:jc w:val="center"/>
              <w:rPr>
                <w:rFonts w:eastAsiaTheme="minorHAnsi"/>
                <w:lang w:val="uk-UA" w:eastAsia="en-US"/>
              </w:rPr>
            </w:pPr>
            <w:r>
              <w:rPr>
                <w:rFonts w:eastAsiaTheme="minorHAnsi"/>
                <w:lang w:val="uk-UA" w:eastAsia="en-US"/>
              </w:rPr>
              <w:t>1</w:t>
            </w:r>
          </w:p>
        </w:tc>
        <w:tc>
          <w:tcPr>
            <w:tcW w:w="3371" w:type="dxa"/>
            <w:tcBorders>
              <w:top w:val="single" w:color="auto" w:sz="4" w:space="0"/>
              <w:left w:val="single" w:color="auto" w:sz="4" w:space="0"/>
              <w:bottom w:val="single" w:color="auto" w:sz="4" w:space="0"/>
              <w:right w:val="single" w:color="auto" w:sz="4" w:space="0"/>
            </w:tcBorders>
          </w:tcPr>
          <w:p w14:paraId="05FB7504">
            <w:pPr>
              <w:spacing w:before="60" w:line="228" w:lineRule="auto"/>
              <w:rPr>
                <w:rFonts w:eastAsiaTheme="minorHAnsi"/>
                <w:lang w:val="uk-UA" w:eastAsia="en-US"/>
              </w:rPr>
            </w:pPr>
            <w:r>
              <w:rPr>
                <w:rFonts w:eastAsiaTheme="minorHAnsi"/>
                <w:lang w:val="uk-UA" w:eastAsia="en-US"/>
              </w:rPr>
              <w:t>Оцінка «прямих» витрат суб’єктів малого підприємництва на виконання регулювання</w:t>
            </w:r>
          </w:p>
        </w:tc>
        <w:tc>
          <w:tcPr>
            <w:tcW w:w="2402" w:type="dxa"/>
            <w:tcBorders>
              <w:top w:val="single" w:color="auto" w:sz="4" w:space="0"/>
              <w:left w:val="single" w:color="auto" w:sz="4" w:space="0"/>
              <w:bottom w:val="single" w:color="auto" w:sz="4" w:space="0"/>
              <w:right w:val="single" w:color="auto" w:sz="4" w:space="0"/>
            </w:tcBorders>
          </w:tcPr>
          <w:p w14:paraId="1253066F">
            <w:pPr>
              <w:spacing w:before="60" w:line="228" w:lineRule="auto"/>
              <w:jc w:val="center"/>
              <w:rPr>
                <w:rFonts w:eastAsia="Calibri"/>
                <w:lang w:val="uk-UA"/>
              </w:rPr>
            </w:pPr>
            <w:r>
              <w:rPr>
                <w:rFonts w:eastAsiaTheme="minorHAnsi"/>
                <w:lang w:val="uk-UA" w:eastAsia="en-US"/>
              </w:rPr>
              <w:t>0,00 грн.</w:t>
            </w:r>
          </w:p>
          <w:p w14:paraId="752EA5F3">
            <w:pPr>
              <w:spacing w:before="60" w:line="228" w:lineRule="auto"/>
              <w:rPr>
                <w:rFonts w:eastAsiaTheme="minorHAnsi"/>
                <w:lang w:val="uk-UA" w:eastAsia="en-US"/>
              </w:rPr>
            </w:pPr>
            <w:r>
              <w:rPr>
                <w:rFonts w:eastAsiaTheme="minorHAnsi"/>
                <w:lang w:val="uk-UA" w:eastAsia="en-US"/>
              </w:rPr>
              <w:t>(дані рядка 8 пункту 3 цього додатку)</w:t>
            </w:r>
          </w:p>
        </w:tc>
        <w:tc>
          <w:tcPr>
            <w:tcW w:w="2277" w:type="dxa"/>
            <w:tcBorders>
              <w:top w:val="single" w:color="auto" w:sz="4" w:space="0"/>
              <w:left w:val="single" w:color="auto" w:sz="4" w:space="0"/>
              <w:bottom w:val="single" w:color="auto" w:sz="4" w:space="0"/>
              <w:right w:val="single" w:color="auto" w:sz="4" w:space="0"/>
            </w:tcBorders>
          </w:tcPr>
          <w:p w14:paraId="63D31753">
            <w:pPr>
              <w:spacing w:before="60" w:line="228" w:lineRule="auto"/>
              <w:jc w:val="center"/>
              <w:rPr>
                <w:rFonts w:eastAsia="Calibri"/>
                <w:lang w:val="uk-UA"/>
              </w:rPr>
            </w:pPr>
            <w:r>
              <w:rPr>
                <w:rFonts w:eastAsiaTheme="minorHAnsi"/>
                <w:lang w:val="uk-UA" w:eastAsia="en-US"/>
              </w:rPr>
              <w:t>0,00 грн.</w:t>
            </w:r>
          </w:p>
          <w:p w14:paraId="2C0D9327">
            <w:pPr>
              <w:spacing w:before="60" w:line="228" w:lineRule="auto"/>
              <w:rPr>
                <w:rFonts w:eastAsiaTheme="minorHAnsi"/>
                <w:lang w:val="uk-UA" w:eastAsia="en-US"/>
              </w:rPr>
            </w:pPr>
            <w:r>
              <w:rPr>
                <w:rFonts w:eastAsiaTheme="minorHAnsi"/>
                <w:lang w:val="uk-UA" w:eastAsia="en-US"/>
              </w:rPr>
              <w:t>(дані рядка 8 пункту 3 цього додатку)</w:t>
            </w:r>
          </w:p>
        </w:tc>
      </w:tr>
      <w:tr w14:paraId="71B9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 w:type="dxa"/>
            <w:tcBorders>
              <w:top w:val="single" w:color="auto" w:sz="4" w:space="0"/>
              <w:left w:val="single" w:color="auto" w:sz="4" w:space="0"/>
              <w:bottom w:val="single" w:color="auto" w:sz="4" w:space="0"/>
              <w:right w:val="single" w:color="auto" w:sz="4" w:space="0"/>
            </w:tcBorders>
          </w:tcPr>
          <w:p w14:paraId="0D30E52E">
            <w:pPr>
              <w:spacing w:before="60" w:line="228" w:lineRule="auto"/>
              <w:ind w:left="-72" w:right="-80"/>
              <w:jc w:val="center"/>
              <w:rPr>
                <w:rFonts w:eastAsiaTheme="minorHAnsi"/>
                <w:lang w:val="uk-UA" w:eastAsia="en-US"/>
              </w:rPr>
            </w:pPr>
            <w:r>
              <w:rPr>
                <w:rFonts w:eastAsiaTheme="minorHAnsi"/>
                <w:lang w:val="uk-UA" w:eastAsia="en-US"/>
              </w:rPr>
              <w:t>2</w:t>
            </w:r>
          </w:p>
        </w:tc>
        <w:tc>
          <w:tcPr>
            <w:tcW w:w="3371" w:type="dxa"/>
            <w:tcBorders>
              <w:top w:val="single" w:color="auto" w:sz="4" w:space="0"/>
              <w:left w:val="single" w:color="auto" w:sz="4" w:space="0"/>
              <w:bottom w:val="single" w:color="auto" w:sz="4" w:space="0"/>
              <w:right w:val="single" w:color="auto" w:sz="4" w:space="0"/>
            </w:tcBorders>
          </w:tcPr>
          <w:p w14:paraId="158A42DF">
            <w:pPr>
              <w:spacing w:before="60" w:line="228" w:lineRule="auto"/>
              <w:rPr>
                <w:rFonts w:eastAsia="Calibri"/>
                <w:lang w:val="uk-UA"/>
              </w:rPr>
            </w:pPr>
            <w:r>
              <w:rPr>
                <w:rFonts w:eastAsiaTheme="minorHAnsi"/>
                <w:lang w:val="uk-UA" w:eastAsia="en-US"/>
              </w:rPr>
              <w:t>Оцінка вартості адміністративних процедур для суб’єктів малого підприємництва щодо виконання регулювання та звітування</w:t>
            </w:r>
          </w:p>
          <w:p w14:paraId="4F42E4A2">
            <w:pPr>
              <w:spacing w:before="60" w:line="228" w:lineRule="auto"/>
              <w:rPr>
                <w:rFonts w:eastAsiaTheme="minorHAnsi"/>
                <w:lang w:val="uk-UA" w:eastAsia="en-US"/>
              </w:rPr>
            </w:pPr>
          </w:p>
        </w:tc>
        <w:tc>
          <w:tcPr>
            <w:tcW w:w="2402" w:type="dxa"/>
            <w:tcBorders>
              <w:top w:val="single" w:color="auto" w:sz="4" w:space="0"/>
              <w:left w:val="single" w:color="auto" w:sz="4" w:space="0"/>
              <w:bottom w:val="single" w:color="auto" w:sz="4" w:space="0"/>
              <w:right w:val="single" w:color="auto" w:sz="4" w:space="0"/>
            </w:tcBorders>
          </w:tcPr>
          <w:p w14:paraId="383C65E3">
            <w:pPr>
              <w:spacing w:before="60" w:line="228" w:lineRule="auto"/>
              <w:rPr>
                <w:rFonts w:eastAsia="Calibri"/>
                <w:lang w:val="uk-UA"/>
              </w:rPr>
            </w:pPr>
            <w:r>
              <w:rPr>
                <w:rFonts w:eastAsiaTheme="minorHAnsi"/>
                <w:lang w:val="uk-UA" w:eastAsia="en-US"/>
              </w:rPr>
              <w:t>648,70 грн.</w:t>
            </w:r>
          </w:p>
          <w:p w14:paraId="0CEC05D1">
            <w:pPr>
              <w:spacing w:before="60" w:line="228" w:lineRule="auto"/>
              <w:rPr>
                <w:rFonts w:eastAsiaTheme="minorHAnsi"/>
                <w:lang w:val="uk-UA" w:eastAsia="en-US"/>
              </w:rPr>
            </w:pPr>
            <w:r>
              <w:rPr>
                <w:rFonts w:eastAsiaTheme="minorHAnsi"/>
                <w:lang w:val="uk-UA" w:eastAsia="en-US"/>
              </w:rPr>
              <w:t xml:space="preserve"> (дані рядка 16 пункту 3 цього додатка)</w:t>
            </w:r>
          </w:p>
        </w:tc>
        <w:tc>
          <w:tcPr>
            <w:tcW w:w="2277" w:type="dxa"/>
            <w:tcBorders>
              <w:top w:val="single" w:color="auto" w:sz="4" w:space="0"/>
              <w:left w:val="single" w:color="auto" w:sz="4" w:space="0"/>
              <w:bottom w:val="single" w:color="auto" w:sz="4" w:space="0"/>
              <w:right w:val="single" w:color="auto" w:sz="4" w:space="0"/>
            </w:tcBorders>
          </w:tcPr>
          <w:p w14:paraId="2ABFA02B">
            <w:pPr>
              <w:spacing w:before="60" w:line="228" w:lineRule="auto"/>
              <w:rPr>
                <w:rFonts w:eastAsia="Calibri"/>
                <w:lang w:val="uk-UA"/>
              </w:rPr>
            </w:pPr>
            <w:r>
              <w:rPr>
                <w:rFonts w:eastAsiaTheme="minorHAnsi"/>
                <w:lang w:val="uk-UA" w:eastAsia="en-US"/>
              </w:rPr>
              <w:t>3243,50 грн.</w:t>
            </w:r>
          </w:p>
          <w:p w14:paraId="2B3D1E4D">
            <w:pPr>
              <w:spacing w:before="60" w:line="228" w:lineRule="auto"/>
              <w:rPr>
                <w:rFonts w:eastAsiaTheme="minorHAnsi"/>
                <w:lang w:val="uk-UA" w:eastAsia="en-US"/>
              </w:rPr>
            </w:pPr>
            <w:r>
              <w:rPr>
                <w:rFonts w:eastAsiaTheme="minorHAnsi"/>
                <w:lang w:val="uk-UA" w:eastAsia="en-US"/>
              </w:rPr>
              <w:t>(дані рядка 16 пункту 3 цього додатка)</w:t>
            </w:r>
          </w:p>
        </w:tc>
      </w:tr>
      <w:tr w14:paraId="2239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 w:type="dxa"/>
            <w:tcBorders>
              <w:top w:val="single" w:color="auto" w:sz="4" w:space="0"/>
              <w:left w:val="single" w:color="auto" w:sz="4" w:space="0"/>
              <w:bottom w:val="single" w:color="auto" w:sz="4" w:space="0"/>
              <w:right w:val="single" w:color="auto" w:sz="4" w:space="0"/>
            </w:tcBorders>
          </w:tcPr>
          <w:p w14:paraId="4A5F3765">
            <w:pPr>
              <w:spacing w:before="60" w:line="228" w:lineRule="auto"/>
              <w:ind w:left="-72" w:right="-80"/>
              <w:jc w:val="center"/>
              <w:rPr>
                <w:rFonts w:eastAsiaTheme="minorHAnsi"/>
                <w:lang w:val="uk-UA" w:eastAsia="en-US"/>
              </w:rPr>
            </w:pPr>
            <w:r>
              <w:rPr>
                <w:rFonts w:eastAsiaTheme="minorHAnsi"/>
                <w:lang w:val="uk-UA" w:eastAsia="en-US"/>
              </w:rPr>
              <w:t>3</w:t>
            </w:r>
          </w:p>
        </w:tc>
        <w:tc>
          <w:tcPr>
            <w:tcW w:w="3371" w:type="dxa"/>
            <w:tcBorders>
              <w:top w:val="single" w:color="auto" w:sz="4" w:space="0"/>
              <w:left w:val="single" w:color="auto" w:sz="4" w:space="0"/>
              <w:bottom w:val="single" w:color="auto" w:sz="4" w:space="0"/>
              <w:right w:val="single" w:color="auto" w:sz="4" w:space="0"/>
            </w:tcBorders>
          </w:tcPr>
          <w:p w14:paraId="0AC262A9">
            <w:pPr>
              <w:spacing w:before="60" w:line="228" w:lineRule="auto"/>
              <w:rPr>
                <w:rFonts w:eastAsia="Calibri"/>
                <w:lang w:val="uk-UA"/>
              </w:rPr>
            </w:pPr>
            <w:r>
              <w:rPr>
                <w:rFonts w:eastAsiaTheme="minorHAnsi"/>
                <w:lang w:val="uk-UA" w:eastAsia="en-US"/>
              </w:rPr>
              <w:t>Сумарні витрати малого підприємництва на виконання запланованого  регулювання</w:t>
            </w:r>
          </w:p>
          <w:p w14:paraId="24ABD752">
            <w:pPr>
              <w:spacing w:before="60" w:line="228" w:lineRule="auto"/>
              <w:rPr>
                <w:rFonts w:eastAsiaTheme="minorHAnsi"/>
                <w:lang w:val="uk-UA" w:eastAsia="en-US"/>
              </w:rPr>
            </w:pPr>
          </w:p>
        </w:tc>
        <w:tc>
          <w:tcPr>
            <w:tcW w:w="2402" w:type="dxa"/>
            <w:tcBorders>
              <w:top w:val="single" w:color="auto" w:sz="4" w:space="0"/>
              <w:left w:val="single" w:color="auto" w:sz="4" w:space="0"/>
              <w:bottom w:val="single" w:color="auto" w:sz="4" w:space="0"/>
              <w:right w:val="single" w:color="auto" w:sz="4" w:space="0"/>
            </w:tcBorders>
          </w:tcPr>
          <w:p w14:paraId="6D46553A">
            <w:pPr>
              <w:spacing w:before="60" w:line="228" w:lineRule="auto"/>
              <w:rPr>
                <w:rFonts w:eastAsia="Calibri"/>
                <w:lang w:val="uk-UA"/>
              </w:rPr>
            </w:pPr>
            <w:r>
              <w:rPr>
                <w:rFonts w:eastAsiaTheme="minorHAnsi"/>
                <w:lang w:val="uk-UA" w:eastAsia="en-US"/>
              </w:rPr>
              <w:t>648,70 грн.</w:t>
            </w:r>
          </w:p>
          <w:p w14:paraId="4352A6B3">
            <w:pPr>
              <w:spacing w:before="60" w:line="228" w:lineRule="auto"/>
              <w:rPr>
                <w:rFonts w:eastAsiaTheme="minorHAnsi"/>
                <w:lang w:val="uk-UA" w:eastAsia="en-US"/>
              </w:rPr>
            </w:pPr>
            <w:r>
              <w:rPr>
                <w:rFonts w:eastAsiaTheme="minorHAnsi"/>
                <w:lang w:val="uk-UA" w:eastAsia="en-US"/>
              </w:rPr>
              <w:t xml:space="preserve"> (сума рядків 1 та 2 цієї таблиці) </w:t>
            </w:r>
          </w:p>
        </w:tc>
        <w:tc>
          <w:tcPr>
            <w:tcW w:w="2277" w:type="dxa"/>
            <w:tcBorders>
              <w:top w:val="single" w:color="auto" w:sz="4" w:space="0"/>
              <w:left w:val="single" w:color="auto" w:sz="4" w:space="0"/>
              <w:bottom w:val="single" w:color="auto" w:sz="4" w:space="0"/>
              <w:right w:val="single" w:color="auto" w:sz="4" w:space="0"/>
            </w:tcBorders>
          </w:tcPr>
          <w:p w14:paraId="2CAE22E8">
            <w:pPr>
              <w:spacing w:before="60" w:line="228" w:lineRule="auto"/>
              <w:rPr>
                <w:rFonts w:eastAsia="Calibri"/>
                <w:lang w:val="uk-UA"/>
              </w:rPr>
            </w:pPr>
            <w:r>
              <w:rPr>
                <w:rFonts w:eastAsiaTheme="minorHAnsi"/>
                <w:lang w:val="uk-UA" w:eastAsia="en-US"/>
              </w:rPr>
              <w:t>3243,50 грн.</w:t>
            </w:r>
          </w:p>
          <w:p w14:paraId="3FB27585">
            <w:pPr>
              <w:spacing w:before="60" w:line="228" w:lineRule="auto"/>
              <w:rPr>
                <w:rFonts w:eastAsiaTheme="minorHAnsi"/>
                <w:lang w:val="uk-UA" w:eastAsia="en-US"/>
              </w:rPr>
            </w:pPr>
            <w:r>
              <w:rPr>
                <w:rFonts w:eastAsiaTheme="minorHAnsi"/>
                <w:lang w:val="uk-UA" w:eastAsia="en-US"/>
              </w:rPr>
              <w:t xml:space="preserve"> (сума рядків 1 та 2 цієї таблиці)</w:t>
            </w:r>
          </w:p>
        </w:tc>
      </w:tr>
      <w:tr w14:paraId="316E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 w:type="dxa"/>
            <w:tcBorders>
              <w:top w:val="single" w:color="auto" w:sz="4" w:space="0"/>
              <w:left w:val="single" w:color="auto" w:sz="4" w:space="0"/>
              <w:bottom w:val="single" w:color="auto" w:sz="4" w:space="0"/>
              <w:right w:val="single" w:color="auto" w:sz="4" w:space="0"/>
            </w:tcBorders>
          </w:tcPr>
          <w:p w14:paraId="7623685F">
            <w:pPr>
              <w:spacing w:before="60" w:line="228" w:lineRule="auto"/>
              <w:ind w:left="-72" w:right="-80"/>
              <w:jc w:val="center"/>
              <w:rPr>
                <w:rFonts w:eastAsiaTheme="minorHAnsi"/>
                <w:lang w:val="uk-UA" w:eastAsia="en-US"/>
              </w:rPr>
            </w:pPr>
            <w:r>
              <w:rPr>
                <w:rFonts w:eastAsiaTheme="minorHAnsi"/>
                <w:lang w:val="uk-UA" w:eastAsia="en-US"/>
              </w:rPr>
              <w:t>4</w:t>
            </w:r>
          </w:p>
        </w:tc>
        <w:tc>
          <w:tcPr>
            <w:tcW w:w="3371" w:type="dxa"/>
            <w:tcBorders>
              <w:top w:val="single" w:color="auto" w:sz="4" w:space="0"/>
              <w:left w:val="single" w:color="auto" w:sz="4" w:space="0"/>
              <w:bottom w:val="single" w:color="auto" w:sz="4" w:space="0"/>
              <w:right w:val="single" w:color="auto" w:sz="4" w:space="0"/>
            </w:tcBorders>
          </w:tcPr>
          <w:p w14:paraId="3B54E82C">
            <w:pPr>
              <w:spacing w:before="60" w:line="228" w:lineRule="auto"/>
              <w:rPr>
                <w:rFonts w:eastAsia="Calibri"/>
                <w:lang w:val="uk-UA"/>
              </w:rPr>
            </w:pPr>
            <w:r>
              <w:rPr>
                <w:rFonts w:eastAsiaTheme="minorHAnsi"/>
                <w:lang w:val="uk-UA" w:eastAsia="en-US"/>
              </w:rPr>
              <w:t>Бюджетні витрати  на адміністрування регулювання суб’єктів малого підприємництва</w:t>
            </w:r>
          </w:p>
          <w:p w14:paraId="56D25709">
            <w:pPr>
              <w:spacing w:before="60" w:line="228" w:lineRule="auto"/>
              <w:rPr>
                <w:rFonts w:eastAsiaTheme="minorHAnsi"/>
                <w:lang w:val="uk-UA" w:eastAsia="en-US"/>
              </w:rPr>
            </w:pPr>
          </w:p>
        </w:tc>
        <w:tc>
          <w:tcPr>
            <w:tcW w:w="2402" w:type="dxa"/>
            <w:tcBorders>
              <w:top w:val="single" w:color="auto" w:sz="4" w:space="0"/>
              <w:left w:val="single" w:color="auto" w:sz="4" w:space="0"/>
              <w:bottom w:val="single" w:color="auto" w:sz="4" w:space="0"/>
              <w:right w:val="single" w:color="auto" w:sz="4" w:space="0"/>
            </w:tcBorders>
          </w:tcPr>
          <w:p w14:paraId="59EB2986">
            <w:pPr>
              <w:spacing w:before="60" w:line="228" w:lineRule="auto"/>
              <w:rPr>
                <w:rFonts w:eastAsia="Calibri"/>
                <w:lang w:val="uk-UA"/>
              </w:rPr>
            </w:pPr>
            <w:r>
              <w:rPr>
                <w:color w:val="000000"/>
                <w:lang w:val="uk-UA" w:eastAsia="uk-UA"/>
              </w:rPr>
              <w:t>866,15</w:t>
            </w:r>
            <w:r>
              <w:rPr>
                <w:rFonts w:eastAsiaTheme="minorHAnsi"/>
                <w:lang w:val="uk-UA" w:eastAsia="en-US"/>
              </w:rPr>
              <w:t>грн.</w:t>
            </w:r>
          </w:p>
          <w:p w14:paraId="5433F8E4">
            <w:pPr>
              <w:spacing w:before="60" w:line="228" w:lineRule="auto"/>
              <w:rPr>
                <w:rFonts w:eastAsiaTheme="minorHAnsi"/>
                <w:lang w:val="uk-UA" w:eastAsia="en-US"/>
              </w:rPr>
            </w:pPr>
            <w:r>
              <w:rPr>
                <w:rFonts w:eastAsiaTheme="minorHAnsi"/>
                <w:lang w:val="uk-UA" w:eastAsia="en-US"/>
              </w:rPr>
              <w:t>(дані з таблиці “Бюджетні витрати на адміністрування регулювання суб’єктів малого підприємництва” цього додатка)</w:t>
            </w:r>
          </w:p>
        </w:tc>
        <w:tc>
          <w:tcPr>
            <w:tcW w:w="2277" w:type="dxa"/>
            <w:tcBorders>
              <w:top w:val="single" w:color="auto" w:sz="4" w:space="0"/>
              <w:left w:val="single" w:color="auto" w:sz="4" w:space="0"/>
              <w:bottom w:val="single" w:color="auto" w:sz="4" w:space="0"/>
              <w:right w:val="single" w:color="auto" w:sz="4" w:space="0"/>
            </w:tcBorders>
          </w:tcPr>
          <w:p w14:paraId="618C6C15">
            <w:pPr>
              <w:spacing w:before="60" w:line="228" w:lineRule="auto"/>
              <w:rPr>
                <w:rFonts w:eastAsia="Calibri"/>
                <w:lang w:val="uk-UA"/>
              </w:rPr>
            </w:pPr>
            <w:r>
              <w:rPr>
                <w:color w:val="000000"/>
                <w:lang w:val="uk-UA" w:eastAsia="uk-UA"/>
              </w:rPr>
              <w:t>4330,75</w:t>
            </w:r>
            <w:r>
              <w:rPr>
                <w:rFonts w:eastAsiaTheme="minorHAnsi"/>
                <w:color w:val="000000"/>
                <w:lang w:val="uk-UA" w:eastAsia="uk-UA"/>
              </w:rPr>
              <w:t xml:space="preserve"> грн.</w:t>
            </w:r>
          </w:p>
          <w:p w14:paraId="764486E7">
            <w:pPr>
              <w:spacing w:before="60" w:line="228" w:lineRule="auto"/>
              <w:rPr>
                <w:rFonts w:eastAsiaTheme="minorHAnsi"/>
                <w:lang w:val="uk-UA" w:eastAsia="en-US"/>
              </w:rPr>
            </w:pPr>
            <w:r>
              <w:rPr>
                <w:rFonts w:eastAsiaTheme="minorHAnsi"/>
                <w:lang w:val="uk-UA" w:eastAsia="en-US"/>
              </w:rPr>
              <w:t xml:space="preserve"> (дані з таблиці “Бюджетні витрати на адміністрування регулювання суб’єктів малого підприємництва” цього додатка)</w:t>
            </w:r>
          </w:p>
        </w:tc>
      </w:tr>
      <w:tr w14:paraId="0385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1478" w:type="dxa"/>
            <w:tcBorders>
              <w:top w:val="single" w:color="auto" w:sz="4" w:space="0"/>
              <w:left w:val="single" w:color="auto" w:sz="4" w:space="0"/>
              <w:bottom w:val="single" w:color="auto" w:sz="4" w:space="0"/>
              <w:right w:val="single" w:color="auto" w:sz="4" w:space="0"/>
            </w:tcBorders>
          </w:tcPr>
          <w:p w14:paraId="05BC4095">
            <w:pPr>
              <w:spacing w:before="60" w:line="228" w:lineRule="auto"/>
              <w:ind w:left="-72" w:right="-80"/>
              <w:jc w:val="center"/>
              <w:rPr>
                <w:rFonts w:eastAsiaTheme="minorHAnsi"/>
                <w:b/>
                <w:lang w:val="uk-UA" w:eastAsia="en-US"/>
              </w:rPr>
            </w:pPr>
            <w:r>
              <w:rPr>
                <w:rFonts w:eastAsiaTheme="minorHAnsi"/>
                <w:b/>
                <w:lang w:val="uk-UA" w:eastAsia="en-US"/>
              </w:rPr>
              <w:t>5</w:t>
            </w:r>
          </w:p>
        </w:tc>
        <w:tc>
          <w:tcPr>
            <w:tcW w:w="3371" w:type="dxa"/>
            <w:tcBorders>
              <w:top w:val="single" w:color="auto" w:sz="4" w:space="0"/>
              <w:left w:val="single" w:color="auto" w:sz="4" w:space="0"/>
              <w:bottom w:val="single" w:color="auto" w:sz="4" w:space="0"/>
              <w:right w:val="single" w:color="auto" w:sz="4" w:space="0"/>
            </w:tcBorders>
          </w:tcPr>
          <w:p w14:paraId="145B1FED">
            <w:pPr>
              <w:spacing w:before="60" w:line="228" w:lineRule="auto"/>
              <w:jc w:val="both"/>
              <w:rPr>
                <w:rFonts w:eastAsia="Calibri"/>
                <w:b/>
                <w:lang w:val="uk-UA"/>
              </w:rPr>
            </w:pPr>
            <w:r>
              <w:rPr>
                <w:rFonts w:eastAsiaTheme="minorHAnsi"/>
                <w:b/>
                <w:lang w:val="uk-UA" w:eastAsia="en-US"/>
              </w:rPr>
              <w:t>Сумарні витрати на виконання запланованого регулювання</w:t>
            </w:r>
          </w:p>
          <w:p w14:paraId="623664F5">
            <w:pPr>
              <w:spacing w:before="60" w:line="228" w:lineRule="auto"/>
              <w:jc w:val="both"/>
              <w:rPr>
                <w:rFonts w:eastAsiaTheme="minorHAnsi"/>
                <w:lang w:val="uk-UA" w:eastAsia="en-US"/>
              </w:rPr>
            </w:pPr>
          </w:p>
          <w:p w14:paraId="15B52215">
            <w:pPr>
              <w:spacing w:before="60" w:line="228" w:lineRule="auto"/>
              <w:jc w:val="both"/>
              <w:rPr>
                <w:rFonts w:eastAsiaTheme="minorHAnsi"/>
                <w:smallCaps/>
                <w:lang w:val="uk-UA" w:eastAsia="en-US"/>
              </w:rPr>
            </w:pPr>
          </w:p>
        </w:tc>
        <w:tc>
          <w:tcPr>
            <w:tcW w:w="2402" w:type="dxa"/>
            <w:tcBorders>
              <w:top w:val="single" w:color="auto" w:sz="4" w:space="0"/>
              <w:left w:val="single" w:color="auto" w:sz="4" w:space="0"/>
              <w:bottom w:val="single" w:color="auto" w:sz="4" w:space="0"/>
              <w:right w:val="single" w:color="auto" w:sz="4" w:space="0"/>
            </w:tcBorders>
          </w:tcPr>
          <w:p w14:paraId="51557CCC">
            <w:pPr>
              <w:spacing w:before="60" w:line="228" w:lineRule="auto"/>
              <w:rPr>
                <w:rFonts w:eastAsia="Calibri"/>
                <w:lang w:val="uk-UA"/>
              </w:rPr>
            </w:pPr>
            <w:r>
              <w:rPr>
                <w:rFonts w:eastAsiaTheme="minorHAnsi"/>
                <w:lang w:val="uk-UA" w:eastAsia="en-US"/>
              </w:rPr>
              <w:t>1514,85 грн.</w:t>
            </w:r>
          </w:p>
          <w:p w14:paraId="51A39ADD">
            <w:pPr>
              <w:spacing w:before="60" w:line="228" w:lineRule="auto"/>
              <w:rPr>
                <w:rFonts w:eastAsiaTheme="minorHAnsi"/>
                <w:lang w:val="uk-UA" w:eastAsia="en-US"/>
              </w:rPr>
            </w:pPr>
            <w:r>
              <w:rPr>
                <w:rFonts w:eastAsiaTheme="minorHAnsi"/>
                <w:lang w:val="uk-UA" w:eastAsia="en-US"/>
              </w:rPr>
              <w:t xml:space="preserve"> (сума рядків 3 та 4 цієї таблиці)</w:t>
            </w:r>
          </w:p>
        </w:tc>
        <w:tc>
          <w:tcPr>
            <w:tcW w:w="2277" w:type="dxa"/>
            <w:tcBorders>
              <w:top w:val="single" w:color="auto" w:sz="4" w:space="0"/>
              <w:left w:val="single" w:color="auto" w:sz="4" w:space="0"/>
              <w:bottom w:val="single" w:color="auto" w:sz="4" w:space="0"/>
              <w:right w:val="single" w:color="auto" w:sz="4" w:space="0"/>
            </w:tcBorders>
          </w:tcPr>
          <w:p w14:paraId="275FFF56">
            <w:pPr>
              <w:spacing w:before="60" w:line="228" w:lineRule="auto"/>
              <w:rPr>
                <w:rFonts w:eastAsia="Calibri"/>
                <w:lang w:val="uk-UA"/>
              </w:rPr>
            </w:pPr>
            <w:r>
              <w:rPr>
                <w:rFonts w:eastAsiaTheme="minorHAnsi"/>
                <w:lang w:val="uk-UA" w:eastAsia="en-US"/>
              </w:rPr>
              <w:t>7574,25 грн.</w:t>
            </w:r>
          </w:p>
          <w:p w14:paraId="51AA1028">
            <w:pPr>
              <w:spacing w:before="60" w:line="228" w:lineRule="auto"/>
              <w:rPr>
                <w:rFonts w:eastAsiaTheme="minorHAnsi"/>
                <w:lang w:val="uk-UA" w:eastAsia="en-US"/>
              </w:rPr>
            </w:pPr>
            <w:r>
              <w:rPr>
                <w:rFonts w:eastAsiaTheme="minorHAnsi"/>
                <w:lang w:val="uk-UA" w:eastAsia="en-US"/>
              </w:rPr>
              <w:t xml:space="preserve"> (сума рядків 3 та 4 цієї таблиці)</w:t>
            </w:r>
          </w:p>
          <w:p w14:paraId="5C34ED78">
            <w:pPr>
              <w:spacing w:before="60" w:line="228" w:lineRule="auto"/>
              <w:rPr>
                <w:rFonts w:eastAsiaTheme="minorHAnsi"/>
                <w:lang w:val="uk-UA" w:eastAsia="en-US"/>
              </w:rPr>
            </w:pPr>
          </w:p>
        </w:tc>
      </w:tr>
    </w:tbl>
    <w:p w14:paraId="7D674DE8">
      <w:pPr>
        <w:ind w:firstLine="567"/>
        <w:jc w:val="both"/>
        <w:rPr>
          <w:rFonts w:eastAsia="Calibri"/>
          <w:b/>
          <w:lang w:val="uk-UA"/>
        </w:rPr>
      </w:pPr>
    </w:p>
    <w:p w14:paraId="6DD95948">
      <w:pPr>
        <w:ind w:firstLine="567"/>
        <w:jc w:val="both"/>
        <w:rPr>
          <w:rFonts w:eastAsiaTheme="minorHAnsi"/>
          <w:b/>
          <w:lang w:val="uk-UA" w:eastAsia="en-US"/>
        </w:rPr>
      </w:pPr>
      <w:r>
        <w:rPr>
          <w:rFonts w:eastAsiaTheme="minorHAnsi"/>
          <w:b/>
          <w:lang w:val="uk-UA" w:eastAsia="en-US"/>
        </w:rPr>
        <w:t>5. Розроблення корегуючих (пом’якшувальних) заходів для малого підприємництва щодо запропонованого регулювання</w:t>
      </w:r>
    </w:p>
    <w:p w14:paraId="662548E2">
      <w:pPr>
        <w:ind w:firstLine="567"/>
        <w:jc w:val="both"/>
        <w:rPr>
          <w:rFonts w:eastAsiaTheme="minorHAnsi"/>
          <w:lang w:val="uk-UA" w:eastAsia="en-US"/>
        </w:rPr>
      </w:pPr>
      <w:r>
        <w:rPr>
          <w:rFonts w:eastAsiaTheme="minorHAnsi"/>
          <w:lang w:val="uk-UA" w:eastAsia="en-US"/>
        </w:rPr>
        <w:t>Пом’якшувальними заходами для суб’єктів малого підприємництва може бути встановлення менших</w:t>
      </w:r>
      <w:r>
        <w:rPr>
          <w:rFonts w:eastAsiaTheme="minorHAnsi"/>
          <w:shd w:val="clear" w:color="auto" w:fill="FFFFFF"/>
          <w:lang w:val="uk-UA" w:eastAsia="en-US"/>
        </w:rPr>
        <w:t xml:space="preserve"> розмірів пайової участі у розвитку інфраструктури міста </w:t>
      </w:r>
      <w:r>
        <w:rPr>
          <w:rFonts w:eastAsiaTheme="minorHAnsi"/>
          <w:lang w:val="uk-UA" w:eastAsia="en-US"/>
        </w:rPr>
        <w:t>або спрощення адміністративних процедур з виконання регулювання.</w:t>
      </w:r>
    </w:p>
    <w:p w14:paraId="655FC5E5">
      <w:pPr>
        <w:numPr>
          <w:ilvl w:val="0"/>
          <w:numId w:val="4"/>
        </w:numPr>
        <w:spacing w:after="200" w:line="276" w:lineRule="auto"/>
        <w:jc w:val="both"/>
        <w:rPr>
          <w:rFonts w:eastAsiaTheme="minorHAnsi"/>
          <w:lang w:val="uk-UA" w:eastAsia="en-US"/>
        </w:rPr>
      </w:pPr>
      <w:r>
        <w:rPr>
          <w:rFonts w:eastAsiaTheme="minorHAnsi"/>
          <w:lang w:val="uk-UA" w:eastAsia="en-US"/>
        </w:rPr>
        <w:t xml:space="preserve">Щодо зменшення </w:t>
      </w:r>
      <w:r>
        <w:rPr>
          <w:rFonts w:eastAsiaTheme="minorHAnsi"/>
          <w:shd w:val="clear" w:color="auto" w:fill="FFFFFF"/>
          <w:lang w:val="uk-UA" w:eastAsia="en-US"/>
        </w:rPr>
        <w:t>розмірів пайової участі у розвитку інфраструктури населених пунктів Широківської сільської ради</w:t>
      </w:r>
      <w:r>
        <w:rPr>
          <w:rFonts w:eastAsiaTheme="minorHAnsi"/>
          <w:lang w:val="uk-UA" w:eastAsia="en-US"/>
        </w:rPr>
        <w:t xml:space="preserve">. </w:t>
      </w:r>
    </w:p>
    <w:p w14:paraId="31E39BEF">
      <w:pPr>
        <w:ind w:firstLine="567"/>
        <w:jc w:val="both"/>
        <w:rPr>
          <w:rFonts w:eastAsiaTheme="minorHAnsi"/>
          <w:lang w:val="uk-UA" w:eastAsia="en-US"/>
        </w:rPr>
      </w:pPr>
      <w:r>
        <w:rPr>
          <w:rFonts w:eastAsiaTheme="minorHAnsi"/>
          <w:lang w:val="uk-UA" w:eastAsia="en-US"/>
        </w:rPr>
        <w:t xml:space="preserve">Відповідно до Закону України «Про регулювання містобудівної діяльності» до повноважень органів місцевого самоврядування належить встановлення </w:t>
      </w:r>
      <w:r>
        <w:rPr>
          <w:rFonts w:eastAsiaTheme="minorHAnsi"/>
          <w:shd w:val="clear" w:color="auto" w:fill="FFFFFF"/>
          <w:lang w:val="uk-UA" w:eastAsia="en-US"/>
        </w:rPr>
        <w:t>розмірів пайової участі у розвитку інфраструктури населених пунктів Широківської сільської ради Запорізького району Запорізької області</w:t>
      </w:r>
      <w:r>
        <w:rPr>
          <w:rFonts w:eastAsiaTheme="minorHAnsi"/>
          <w:lang w:val="uk-UA" w:eastAsia="en-US"/>
        </w:rPr>
        <w:t xml:space="preserve">. </w:t>
      </w:r>
    </w:p>
    <w:p w14:paraId="4325644F">
      <w:pPr>
        <w:shd w:val="clear" w:color="auto" w:fill="FFFFFF"/>
        <w:ind w:firstLine="450"/>
        <w:jc w:val="both"/>
        <w:textAlignment w:val="baseline"/>
        <w:rPr>
          <w:lang w:val="uk-UA" w:eastAsia="uk-UA"/>
        </w:rPr>
      </w:pPr>
      <w:r>
        <w:rPr>
          <w:lang w:val="uk-UA" w:eastAsia="uk-UA"/>
        </w:rPr>
        <w:t xml:space="preserve">Граничний розмір пайової участі у розвитку інфраструктури населеного пункту з урахуванням інших передбачених законом відрахувань не може перевищувати </w:t>
      </w:r>
      <w:bookmarkStart w:id="0" w:name="n617"/>
      <w:bookmarkEnd w:id="0"/>
      <w:r>
        <w:rPr>
          <w:lang w:val="uk-UA" w:eastAsia="uk-UA"/>
        </w:rPr>
        <w:t>10 відсотків загальної кошторисної вартості будівництва об’єкта - для нежитлових будівель та споруд.</w:t>
      </w:r>
    </w:p>
    <w:p w14:paraId="668CC0C6">
      <w:pPr>
        <w:ind w:firstLine="567"/>
        <w:jc w:val="both"/>
        <w:rPr>
          <w:rFonts w:eastAsiaTheme="minorHAnsi"/>
          <w:lang w:val="uk-UA" w:eastAsia="en-US"/>
        </w:rPr>
      </w:pPr>
      <w:r>
        <w:rPr>
          <w:rFonts w:eastAsiaTheme="minorHAnsi"/>
          <w:lang w:val="uk-UA" w:eastAsia="en-US"/>
        </w:rPr>
        <w:t xml:space="preserve">З метою пом’якшення дії державного регулювання, недопущення значного фінансового навантаження на суб’єктів господарювання запропоновано  розмір пайової участі для нежитлових будівель та споруд на протязі 2018 року встановлено – 1% вартості будівництва об’єкта, Тобто,  орієнтовно у 10 разів менше граничного розміру пайової участі передбаченої Законом України «Про регулювання містобудівної діяльності». </w:t>
      </w:r>
    </w:p>
    <w:p w14:paraId="3E0F3821">
      <w:pPr>
        <w:ind w:firstLine="567"/>
        <w:jc w:val="both"/>
        <w:rPr>
          <w:rFonts w:eastAsiaTheme="minorHAnsi"/>
          <w:lang w:val="uk-UA" w:eastAsia="en-US"/>
        </w:rPr>
      </w:pPr>
      <w:r>
        <w:rPr>
          <w:rFonts w:eastAsiaTheme="minorHAnsi"/>
          <w:shd w:val="clear" w:color="auto" w:fill="FFFFFF"/>
          <w:lang w:val="uk-UA" w:eastAsia="en-US"/>
        </w:rPr>
        <w:t xml:space="preserve">Оплата за пайову участь у розвитку інфраструктури </w:t>
      </w:r>
      <w:r>
        <w:rPr>
          <w:rFonts w:eastAsiaTheme="minorHAnsi"/>
          <w:lang w:val="uk-UA" w:eastAsia="en-US"/>
        </w:rPr>
        <w:t xml:space="preserve">великою мірою компенсовується зменшенням податкового навантаження у зв’язку з зниженням в 2016 році розміру єдиного соціального внеску з 34,7% до 22%. </w:t>
      </w:r>
    </w:p>
    <w:p w14:paraId="3ECD8AC9">
      <w:pPr>
        <w:ind w:firstLine="450"/>
        <w:jc w:val="both"/>
        <w:textAlignment w:val="baseline"/>
        <w:rPr>
          <w:lang w:val="uk-UA" w:eastAsia="uk-UA"/>
        </w:rPr>
      </w:pPr>
      <w:r>
        <w:rPr>
          <w:lang w:val="uk-UA" w:eastAsia="uk-UA"/>
        </w:rPr>
        <w:t>Виходячи з  викладеного,  корегуючі (пом’якшувальні) заходи та компенсаторні механізми для малого бізнесу який розташований та веде діяльність на території Широківської сільської ради Запорізького району Запорізької області, не те що, розроблено, а вже впроваджено та реалізовано.</w:t>
      </w:r>
    </w:p>
    <w:p w14:paraId="37A3BF84">
      <w:pPr>
        <w:ind w:firstLine="567"/>
        <w:jc w:val="both"/>
        <w:rPr>
          <w:rFonts w:eastAsiaTheme="minorHAnsi"/>
          <w:lang w:val="uk-UA" w:eastAsia="en-US"/>
        </w:rPr>
      </w:pPr>
      <w:r>
        <w:rPr>
          <w:rFonts w:eastAsiaTheme="minorHAnsi"/>
          <w:lang w:val="uk-UA" w:eastAsia="en-US"/>
        </w:rPr>
        <w:t xml:space="preserve">2. Щодо спрощення адміністративних процедур з регулювання. </w:t>
      </w:r>
    </w:p>
    <w:p w14:paraId="607EED66">
      <w:pPr>
        <w:ind w:firstLine="567"/>
        <w:jc w:val="both"/>
        <w:rPr>
          <w:rFonts w:eastAsiaTheme="minorHAnsi"/>
          <w:lang w:val="uk-UA" w:eastAsia="en-US"/>
        </w:rPr>
      </w:pPr>
      <w:r>
        <w:rPr>
          <w:rFonts w:eastAsiaTheme="minorHAnsi"/>
          <w:lang w:val="uk-UA" w:eastAsia="en-US"/>
        </w:rPr>
        <w:t>Перелік документів які подаються для укладення договорів визначено чинним законодавством України.</w:t>
      </w:r>
    </w:p>
    <w:p w14:paraId="0DB338D8">
      <w:pPr>
        <w:jc w:val="both"/>
        <w:rPr>
          <w:lang w:val="uk-UA" w:eastAsia="uk-UA"/>
        </w:rPr>
      </w:pPr>
    </w:p>
    <w:p w14:paraId="43DCE647">
      <w:pPr>
        <w:jc w:val="both"/>
        <w:rPr>
          <w:lang w:val="uk-UA" w:eastAsia="uk-UA"/>
        </w:rPr>
      </w:pPr>
    </w:p>
    <w:p w14:paraId="0C907B0F">
      <w:pPr>
        <w:jc w:val="both"/>
        <w:rPr>
          <w:lang w:val="uk-UA" w:eastAsia="uk-UA"/>
        </w:rPr>
      </w:pPr>
    </w:p>
    <w:p w14:paraId="17CA8316">
      <w:pPr>
        <w:rPr>
          <w:lang w:val="uk-UA" w:eastAsia="uk-UA"/>
        </w:rPr>
      </w:pPr>
      <w:r>
        <w:rPr>
          <w:lang w:val="uk-UA" w:eastAsia="uk-UA"/>
        </w:rPr>
        <w:t xml:space="preserve">Начальник відділу фінансів, </w:t>
      </w:r>
    </w:p>
    <w:p w14:paraId="1EADED60">
      <w:pPr>
        <w:rPr>
          <w:lang w:val="uk-UA" w:eastAsia="uk-UA"/>
        </w:rPr>
      </w:pPr>
      <w:r>
        <w:rPr>
          <w:lang w:val="uk-UA" w:eastAsia="uk-UA"/>
        </w:rPr>
        <w:t>економічного</w:t>
      </w:r>
      <w:r>
        <w:rPr>
          <w:lang w:val="uk-UA" w:eastAsia="uk-UA"/>
        </w:rPr>
        <w:tab/>
      </w:r>
      <w:r>
        <w:rPr>
          <w:lang w:val="uk-UA" w:eastAsia="uk-UA"/>
        </w:rPr>
        <w:t>розвитку,</w:t>
      </w:r>
    </w:p>
    <w:p w14:paraId="4F2CA15A">
      <w:pPr>
        <w:rPr>
          <w:lang w:val="uk-UA" w:eastAsia="uk-UA"/>
        </w:rPr>
      </w:pPr>
      <w:r>
        <w:rPr>
          <w:lang w:val="uk-UA" w:eastAsia="uk-UA"/>
        </w:rPr>
        <w:t>інвестиційної та регуляторної діяльності</w:t>
      </w:r>
      <w:r>
        <w:rPr>
          <w:lang w:val="uk-UA" w:eastAsia="uk-UA"/>
        </w:rPr>
        <w:tab/>
      </w:r>
      <w:r>
        <w:rPr>
          <w:lang w:val="uk-UA" w:eastAsia="uk-UA"/>
        </w:rPr>
        <w:tab/>
      </w:r>
      <w:r>
        <w:rPr>
          <w:lang w:val="uk-UA" w:eastAsia="uk-UA"/>
        </w:rPr>
        <w:tab/>
      </w:r>
      <w:r>
        <w:rPr>
          <w:lang w:val="uk-UA" w:eastAsia="uk-UA"/>
        </w:rPr>
        <w:tab/>
      </w:r>
      <w:r>
        <w:rPr>
          <w:lang w:val="uk-UA" w:eastAsia="uk-UA"/>
        </w:rPr>
        <w:t xml:space="preserve">                    Л.А. Нічіпорчук</w:t>
      </w:r>
    </w:p>
    <w:sectPr>
      <w:pgSz w:w="11906" w:h="16838"/>
      <w:pgMar w:top="1134" w:right="850" w:bottom="709"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9"/>
    <w:multiLevelType w:val="multilevel"/>
    <w:tmpl w:val="00000029"/>
    <w:lvl w:ilvl="0" w:tentative="0">
      <w:start w:val="1"/>
      <w:numFmt w:val="decimal"/>
      <w:lvlText w:val="1.%1."/>
      <w:lvlJc w:val="left"/>
      <w:pPr>
        <w:tabs>
          <w:tab w:val="left" w:pos="720"/>
        </w:tabs>
        <w:ind w:left="720" w:hanging="360"/>
      </w:pPr>
      <w:rPr>
        <w:rFonts w:cs="Times New Roman"/>
      </w:rPr>
    </w:lvl>
    <w:lvl w:ilvl="1" w:tentative="0">
      <w:start w:val="0"/>
      <w:numFmt w:val="decimal"/>
      <w:lvlText w:val=""/>
      <w:lvlJc w:val="left"/>
      <w:rPr>
        <w:rFonts w:cs="Times New Roman"/>
      </w:rPr>
    </w:lvl>
    <w:lvl w:ilvl="2" w:tentative="0">
      <w:start w:val="0"/>
      <w:numFmt w:val="decimal"/>
      <w:lvlText w:val=""/>
      <w:lvlJc w:val="left"/>
      <w:rPr>
        <w:rFonts w:cs="Times New Roman"/>
      </w:rPr>
    </w:lvl>
    <w:lvl w:ilvl="3" w:tentative="0">
      <w:start w:val="0"/>
      <w:numFmt w:val="decimal"/>
      <w:lvlText w:val=""/>
      <w:lvlJc w:val="left"/>
      <w:rPr>
        <w:rFonts w:cs="Times New Roman"/>
      </w:rPr>
    </w:lvl>
    <w:lvl w:ilvl="4" w:tentative="0">
      <w:start w:val="0"/>
      <w:numFmt w:val="decimal"/>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616410E1"/>
    <w:multiLevelType w:val="multilevel"/>
    <w:tmpl w:val="616410E1"/>
    <w:lvl w:ilvl="0" w:tentative="0">
      <w:start w:val="1"/>
      <w:numFmt w:val="decimal"/>
      <w:lvlText w:val="%1."/>
      <w:lvlJc w:val="left"/>
      <w:pPr>
        <w:ind w:left="927" w:hanging="360"/>
      </w:pPr>
      <w:rPr>
        <w:rFonts w:cs="Times New Roman"/>
      </w:rPr>
    </w:lvl>
    <w:lvl w:ilvl="1" w:tentative="0">
      <w:start w:val="1"/>
      <w:numFmt w:val="lowerLetter"/>
      <w:lvlText w:val="%2."/>
      <w:lvlJc w:val="left"/>
      <w:pPr>
        <w:ind w:left="1647" w:hanging="360"/>
      </w:pPr>
      <w:rPr>
        <w:rFonts w:cs="Times New Roman"/>
      </w:rPr>
    </w:lvl>
    <w:lvl w:ilvl="2" w:tentative="0">
      <w:start w:val="1"/>
      <w:numFmt w:val="lowerRoman"/>
      <w:lvlText w:val="%3."/>
      <w:lvlJc w:val="right"/>
      <w:pPr>
        <w:ind w:left="2367" w:hanging="180"/>
      </w:pPr>
      <w:rPr>
        <w:rFonts w:cs="Times New Roman"/>
      </w:rPr>
    </w:lvl>
    <w:lvl w:ilvl="3" w:tentative="0">
      <w:start w:val="1"/>
      <w:numFmt w:val="decimal"/>
      <w:lvlText w:val="%4."/>
      <w:lvlJc w:val="left"/>
      <w:pPr>
        <w:ind w:left="3087" w:hanging="360"/>
      </w:pPr>
      <w:rPr>
        <w:rFonts w:cs="Times New Roman"/>
      </w:rPr>
    </w:lvl>
    <w:lvl w:ilvl="4" w:tentative="0">
      <w:start w:val="1"/>
      <w:numFmt w:val="lowerLetter"/>
      <w:lvlText w:val="%5."/>
      <w:lvlJc w:val="left"/>
      <w:pPr>
        <w:ind w:left="3807" w:hanging="360"/>
      </w:pPr>
      <w:rPr>
        <w:rFonts w:cs="Times New Roman"/>
      </w:rPr>
    </w:lvl>
    <w:lvl w:ilvl="5" w:tentative="0">
      <w:start w:val="1"/>
      <w:numFmt w:val="lowerRoman"/>
      <w:lvlText w:val="%6."/>
      <w:lvlJc w:val="right"/>
      <w:pPr>
        <w:ind w:left="4527" w:hanging="180"/>
      </w:pPr>
      <w:rPr>
        <w:rFonts w:cs="Times New Roman"/>
      </w:rPr>
    </w:lvl>
    <w:lvl w:ilvl="6" w:tentative="0">
      <w:start w:val="1"/>
      <w:numFmt w:val="decimal"/>
      <w:lvlText w:val="%7."/>
      <w:lvlJc w:val="left"/>
      <w:pPr>
        <w:ind w:left="5247" w:hanging="360"/>
      </w:pPr>
      <w:rPr>
        <w:rFonts w:cs="Times New Roman"/>
      </w:rPr>
    </w:lvl>
    <w:lvl w:ilvl="7" w:tentative="0">
      <w:start w:val="1"/>
      <w:numFmt w:val="lowerLetter"/>
      <w:lvlText w:val="%8."/>
      <w:lvlJc w:val="left"/>
      <w:pPr>
        <w:ind w:left="5967" w:hanging="360"/>
      </w:pPr>
      <w:rPr>
        <w:rFonts w:cs="Times New Roman"/>
      </w:rPr>
    </w:lvl>
    <w:lvl w:ilvl="8" w:tentative="0">
      <w:start w:val="1"/>
      <w:numFmt w:val="lowerRoman"/>
      <w:lvlText w:val="%9."/>
      <w:lvlJc w:val="right"/>
      <w:pPr>
        <w:ind w:left="6687" w:hanging="180"/>
      </w:pPr>
      <w:rPr>
        <w:rFonts w:cs="Times New Roman"/>
      </w:rPr>
    </w:lvl>
  </w:abstractNum>
  <w:abstractNum w:abstractNumId="2">
    <w:nsid w:val="720B66FD"/>
    <w:multiLevelType w:val="multilevel"/>
    <w:tmpl w:val="720B66FD"/>
    <w:lvl w:ilvl="0" w:tentative="0">
      <w:start w:val="1"/>
      <w:numFmt w:val="decimal"/>
      <w:lvlText w:val="%1."/>
      <w:lvlJc w:val="left"/>
      <w:pPr>
        <w:ind w:left="435" w:hanging="360"/>
      </w:pPr>
      <w:rPr>
        <w:rFonts w:hint="default"/>
      </w:rPr>
    </w:lvl>
    <w:lvl w:ilvl="1" w:tentative="0">
      <w:start w:val="1"/>
      <w:numFmt w:val="lowerLetter"/>
      <w:lvlText w:val="%2."/>
      <w:lvlJc w:val="left"/>
      <w:pPr>
        <w:ind w:left="1155" w:hanging="360"/>
      </w:pPr>
    </w:lvl>
    <w:lvl w:ilvl="2" w:tentative="0">
      <w:start w:val="1"/>
      <w:numFmt w:val="lowerRoman"/>
      <w:lvlText w:val="%3."/>
      <w:lvlJc w:val="right"/>
      <w:pPr>
        <w:ind w:left="1875" w:hanging="180"/>
      </w:pPr>
    </w:lvl>
    <w:lvl w:ilvl="3" w:tentative="0">
      <w:start w:val="1"/>
      <w:numFmt w:val="decimal"/>
      <w:lvlText w:val="%4."/>
      <w:lvlJc w:val="left"/>
      <w:pPr>
        <w:ind w:left="2595" w:hanging="360"/>
      </w:pPr>
    </w:lvl>
    <w:lvl w:ilvl="4" w:tentative="0">
      <w:start w:val="1"/>
      <w:numFmt w:val="lowerLetter"/>
      <w:lvlText w:val="%5."/>
      <w:lvlJc w:val="left"/>
      <w:pPr>
        <w:ind w:left="3315" w:hanging="360"/>
      </w:pPr>
    </w:lvl>
    <w:lvl w:ilvl="5" w:tentative="0">
      <w:start w:val="1"/>
      <w:numFmt w:val="lowerRoman"/>
      <w:lvlText w:val="%6."/>
      <w:lvlJc w:val="right"/>
      <w:pPr>
        <w:ind w:left="4035" w:hanging="180"/>
      </w:pPr>
    </w:lvl>
    <w:lvl w:ilvl="6" w:tentative="0">
      <w:start w:val="1"/>
      <w:numFmt w:val="decimal"/>
      <w:lvlText w:val="%7."/>
      <w:lvlJc w:val="left"/>
      <w:pPr>
        <w:ind w:left="4755" w:hanging="360"/>
      </w:pPr>
    </w:lvl>
    <w:lvl w:ilvl="7" w:tentative="0">
      <w:start w:val="1"/>
      <w:numFmt w:val="lowerLetter"/>
      <w:lvlText w:val="%8."/>
      <w:lvlJc w:val="left"/>
      <w:pPr>
        <w:ind w:left="5475" w:hanging="360"/>
      </w:pPr>
    </w:lvl>
    <w:lvl w:ilvl="8" w:tentative="0">
      <w:start w:val="1"/>
      <w:numFmt w:val="lowerRoman"/>
      <w:lvlText w:val="%9."/>
      <w:lvlJc w:val="right"/>
      <w:pPr>
        <w:ind w:left="6195" w:hanging="180"/>
      </w:pPr>
    </w:lvl>
  </w:abstractNum>
  <w:abstractNum w:abstractNumId="3">
    <w:nsid w:val="7DD66174"/>
    <w:multiLevelType w:val="multilevel"/>
    <w:tmpl w:val="7DD66174"/>
    <w:lvl w:ilvl="0" w:tentative="0">
      <w:start w:val="1"/>
      <w:numFmt w:val="decimal"/>
      <w:lvlText w:val="%1."/>
      <w:lvlJc w:val="left"/>
      <w:pPr>
        <w:ind w:left="925" w:hanging="360"/>
      </w:pPr>
      <w:rPr>
        <w:rFonts w:cs="Times New Roman"/>
      </w:rPr>
    </w:lvl>
    <w:lvl w:ilvl="1" w:tentative="0">
      <w:start w:val="1"/>
      <w:numFmt w:val="lowerLetter"/>
      <w:lvlText w:val="%2."/>
      <w:lvlJc w:val="left"/>
      <w:pPr>
        <w:ind w:left="1645" w:hanging="360"/>
      </w:pPr>
      <w:rPr>
        <w:rFonts w:cs="Times New Roman"/>
      </w:rPr>
    </w:lvl>
    <w:lvl w:ilvl="2" w:tentative="0">
      <w:start w:val="1"/>
      <w:numFmt w:val="lowerRoman"/>
      <w:lvlText w:val="%3."/>
      <w:lvlJc w:val="right"/>
      <w:pPr>
        <w:ind w:left="2365" w:hanging="180"/>
      </w:pPr>
      <w:rPr>
        <w:rFonts w:cs="Times New Roman"/>
      </w:rPr>
    </w:lvl>
    <w:lvl w:ilvl="3" w:tentative="0">
      <w:start w:val="1"/>
      <w:numFmt w:val="decimal"/>
      <w:lvlText w:val="%4."/>
      <w:lvlJc w:val="left"/>
      <w:pPr>
        <w:ind w:left="3085" w:hanging="360"/>
      </w:pPr>
      <w:rPr>
        <w:rFonts w:cs="Times New Roman"/>
      </w:rPr>
    </w:lvl>
    <w:lvl w:ilvl="4" w:tentative="0">
      <w:start w:val="1"/>
      <w:numFmt w:val="lowerLetter"/>
      <w:lvlText w:val="%5."/>
      <w:lvlJc w:val="left"/>
      <w:pPr>
        <w:ind w:left="3805" w:hanging="360"/>
      </w:pPr>
      <w:rPr>
        <w:rFonts w:cs="Times New Roman"/>
      </w:rPr>
    </w:lvl>
    <w:lvl w:ilvl="5" w:tentative="0">
      <w:start w:val="1"/>
      <w:numFmt w:val="lowerRoman"/>
      <w:lvlText w:val="%6."/>
      <w:lvlJc w:val="right"/>
      <w:pPr>
        <w:ind w:left="4525" w:hanging="180"/>
      </w:pPr>
      <w:rPr>
        <w:rFonts w:cs="Times New Roman"/>
      </w:rPr>
    </w:lvl>
    <w:lvl w:ilvl="6" w:tentative="0">
      <w:start w:val="1"/>
      <w:numFmt w:val="decimal"/>
      <w:lvlText w:val="%7."/>
      <w:lvlJc w:val="left"/>
      <w:pPr>
        <w:ind w:left="5245" w:hanging="360"/>
      </w:pPr>
      <w:rPr>
        <w:rFonts w:cs="Times New Roman"/>
      </w:rPr>
    </w:lvl>
    <w:lvl w:ilvl="7" w:tentative="0">
      <w:start w:val="1"/>
      <w:numFmt w:val="lowerLetter"/>
      <w:lvlText w:val="%8."/>
      <w:lvlJc w:val="left"/>
      <w:pPr>
        <w:ind w:left="5965" w:hanging="360"/>
      </w:pPr>
      <w:rPr>
        <w:rFonts w:cs="Times New Roman"/>
      </w:rPr>
    </w:lvl>
    <w:lvl w:ilvl="8" w:tentative="0">
      <w:start w:val="1"/>
      <w:numFmt w:val="lowerRoman"/>
      <w:lvlText w:val="%9."/>
      <w:lvlJc w:val="right"/>
      <w:pPr>
        <w:ind w:left="6685" w:hanging="180"/>
      </w:pPr>
      <w:rPr>
        <w:rFonts w:cs="Times New Roman"/>
      </w:rPr>
    </w:lvl>
  </w:abstractNum>
  <w:num w:numId="1">
    <w:abstractNumId w:val="0"/>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553536"/>
    <w:rsid w:val="000158FE"/>
    <w:rsid w:val="00046C88"/>
    <w:rsid w:val="00083288"/>
    <w:rsid w:val="000E0BD8"/>
    <w:rsid w:val="00150282"/>
    <w:rsid w:val="001C7F6B"/>
    <w:rsid w:val="001E3E0B"/>
    <w:rsid w:val="00212483"/>
    <w:rsid w:val="002259A8"/>
    <w:rsid w:val="002D3E67"/>
    <w:rsid w:val="002D6A0D"/>
    <w:rsid w:val="00315942"/>
    <w:rsid w:val="00394476"/>
    <w:rsid w:val="003E553E"/>
    <w:rsid w:val="00415E05"/>
    <w:rsid w:val="00432203"/>
    <w:rsid w:val="00521B5D"/>
    <w:rsid w:val="00543500"/>
    <w:rsid w:val="00553536"/>
    <w:rsid w:val="00597BB8"/>
    <w:rsid w:val="005A3F13"/>
    <w:rsid w:val="005D02C9"/>
    <w:rsid w:val="005E3923"/>
    <w:rsid w:val="005E53E0"/>
    <w:rsid w:val="005F2963"/>
    <w:rsid w:val="00622F7D"/>
    <w:rsid w:val="00626572"/>
    <w:rsid w:val="0063112E"/>
    <w:rsid w:val="006C5D66"/>
    <w:rsid w:val="006D150A"/>
    <w:rsid w:val="00764CDC"/>
    <w:rsid w:val="007A3FAC"/>
    <w:rsid w:val="007A5641"/>
    <w:rsid w:val="007C7ABA"/>
    <w:rsid w:val="007F6CE1"/>
    <w:rsid w:val="0088369F"/>
    <w:rsid w:val="009C09B0"/>
    <w:rsid w:val="009C538E"/>
    <w:rsid w:val="009C685A"/>
    <w:rsid w:val="00A273A6"/>
    <w:rsid w:val="00A33FDE"/>
    <w:rsid w:val="00A9227F"/>
    <w:rsid w:val="00B52EAC"/>
    <w:rsid w:val="00B6797E"/>
    <w:rsid w:val="00BB4A4D"/>
    <w:rsid w:val="00BB763B"/>
    <w:rsid w:val="00C277A9"/>
    <w:rsid w:val="00C31E0D"/>
    <w:rsid w:val="00CB3CB2"/>
    <w:rsid w:val="00CB4699"/>
    <w:rsid w:val="00D061F8"/>
    <w:rsid w:val="00D1514D"/>
    <w:rsid w:val="00D84E19"/>
    <w:rsid w:val="00E238B0"/>
    <w:rsid w:val="00E83946"/>
    <w:rsid w:val="00EB3989"/>
    <w:rsid w:val="00EE7F47"/>
    <w:rsid w:val="00EF1A5B"/>
    <w:rsid w:val="00F24400"/>
    <w:rsid w:val="00F71EDB"/>
    <w:rsid w:val="00F919EF"/>
    <w:rsid w:val="00FD0B73"/>
    <w:rsid w:val="72507C1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5"/>
    <w:semiHidden/>
    <w:unhideWhenUsed/>
    <w:qFormat/>
    <w:uiPriority w:val="99"/>
    <w:rPr>
      <w:rFonts w:ascii="Arial" w:hAnsi="Arial" w:cs="Arial"/>
      <w:sz w:val="16"/>
      <w:szCs w:val="16"/>
    </w:rPr>
  </w:style>
  <w:style w:type="paragraph" w:styleId="5">
    <w:name w:val="Body Text"/>
    <w:basedOn w:val="1"/>
    <w:link w:val="18"/>
    <w:uiPriority w:val="0"/>
    <w:pPr>
      <w:widowControl w:val="0"/>
      <w:suppressAutoHyphens/>
      <w:spacing w:after="120"/>
    </w:pPr>
    <w:rPr>
      <w:rFonts w:eastAsia="Lucida Sans Unicode"/>
      <w:lang w:eastAsia="en-US"/>
    </w:rPr>
  </w:style>
  <w:style w:type="paragraph" w:styleId="6">
    <w:name w:val="Body Text Indent"/>
    <w:basedOn w:val="1"/>
    <w:link w:val="23"/>
    <w:semiHidden/>
    <w:unhideWhenUsed/>
    <w:uiPriority w:val="99"/>
    <w:pPr>
      <w:spacing w:after="120"/>
      <w:ind w:left="283"/>
    </w:pPr>
  </w:style>
  <w:style w:type="character" w:styleId="7">
    <w:name w:val="Emphasis"/>
    <w:basedOn w:val="2"/>
    <w:qFormat/>
    <w:uiPriority w:val="20"/>
    <w:rPr>
      <w:i/>
      <w:iCs/>
    </w:rPr>
  </w:style>
  <w:style w:type="paragraph" w:styleId="8">
    <w:name w:val="HTML Preformatted"/>
    <w:basedOn w:val="1"/>
    <w:link w:val="20"/>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9">
    <w:name w:val="Hyperlink"/>
    <w:basedOn w:val="2"/>
    <w:qFormat/>
    <w:uiPriority w:val="0"/>
    <w:rPr>
      <w:color w:val="0000FF"/>
      <w:u w:val="single"/>
    </w:rPr>
  </w:style>
  <w:style w:type="paragraph" w:styleId="10">
    <w:name w:val="Normal (Web)"/>
    <w:basedOn w:val="1"/>
    <w:link w:val="19"/>
    <w:uiPriority w:val="0"/>
    <w:pPr>
      <w:spacing w:before="100" w:beforeAutospacing="1" w:after="100" w:afterAutospacing="1"/>
    </w:pPr>
    <w:rPr>
      <w:rFonts w:ascii="Tahoma" w:hAnsi="Tahoma" w:cs="Tahoma"/>
      <w:color w:val="666666"/>
      <w:sz w:val="18"/>
      <w:szCs w:val="18"/>
      <w:lang w:val="uk-UA" w:eastAsia="uk-UA"/>
    </w:rPr>
  </w:style>
  <w:style w:type="character" w:styleId="11">
    <w:name w:val="Strong"/>
    <w:basedOn w:val="2"/>
    <w:qFormat/>
    <w:uiPriority w:val="0"/>
    <w:rPr>
      <w:b/>
      <w:bCs/>
    </w:rPr>
  </w:style>
  <w:style w:type="paragraph" w:styleId="12">
    <w:name w:val="Title"/>
    <w:basedOn w:val="1"/>
    <w:link w:val="15"/>
    <w:qFormat/>
    <w:uiPriority w:val="0"/>
    <w:pPr>
      <w:jc w:val="center"/>
    </w:pPr>
    <w:rPr>
      <w:b/>
      <w:bCs/>
      <w:lang w:val="uk-UA"/>
    </w:rPr>
  </w:style>
  <w:style w:type="paragraph" w:customStyle="1" w:styleId="13">
    <w:name w:val="Text"/>
    <w:uiPriority w:val="0"/>
    <w:pPr>
      <w:autoSpaceDE w:val="0"/>
      <w:autoSpaceDN w:val="0"/>
      <w:adjustRightInd w:val="0"/>
      <w:spacing w:after="200" w:line="276" w:lineRule="auto"/>
      <w:ind w:firstLine="454"/>
      <w:jc w:val="both"/>
    </w:pPr>
    <w:rPr>
      <w:rFonts w:ascii="Times New Roman" w:hAnsi="Times New Roman" w:eastAsia="Times New Roman" w:cs="Times New Roman"/>
      <w:color w:val="000000"/>
      <w:sz w:val="22"/>
      <w:szCs w:val="22"/>
      <w:lang w:val="uk-UA" w:eastAsia="uk-UA" w:bidi="en-US"/>
    </w:rPr>
  </w:style>
  <w:style w:type="paragraph" w:styleId="14">
    <w:name w:val="List Paragraph"/>
    <w:basedOn w:val="1"/>
    <w:qFormat/>
    <w:uiPriority w:val="34"/>
    <w:pPr>
      <w:ind w:left="720"/>
      <w:contextualSpacing/>
    </w:pPr>
  </w:style>
  <w:style w:type="character" w:customStyle="1" w:styleId="15">
    <w:name w:val="Название Знак"/>
    <w:basedOn w:val="2"/>
    <w:link w:val="12"/>
    <w:qFormat/>
    <w:uiPriority w:val="0"/>
    <w:rPr>
      <w:rFonts w:ascii="Times New Roman" w:hAnsi="Times New Roman" w:eastAsia="Times New Roman" w:cs="Times New Roman"/>
      <w:b/>
      <w:bCs/>
      <w:sz w:val="24"/>
      <w:szCs w:val="24"/>
      <w:lang w:val="uk-UA" w:eastAsia="ru-RU"/>
    </w:rPr>
  </w:style>
  <w:style w:type="character" w:customStyle="1" w:styleId="16">
    <w:name w:val="apple-converted-space"/>
    <w:basedOn w:val="2"/>
    <w:uiPriority w:val="0"/>
  </w:style>
  <w:style w:type="paragraph" w:customStyle="1" w:styleId="17">
    <w:name w:val="a"/>
    <w:basedOn w:val="1"/>
    <w:uiPriority w:val="0"/>
    <w:pPr>
      <w:spacing w:line="210" w:lineRule="atLeast"/>
      <w:ind w:firstLine="454"/>
      <w:jc w:val="both"/>
    </w:pPr>
    <w:rPr>
      <w:rFonts w:eastAsia="Calibri"/>
      <w:color w:val="000000"/>
      <w:sz w:val="20"/>
      <w:szCs w:val="20"/>
    </w:rPr>
  </w:style>
  <w:style w:type="character" w:customStyle="1" w:styleId="18">
    <w:name w:val="Основной текст Знак"/>
    <w:basedOn w:val="2"/>
    <w:link w:val="5"/>
    <w:uiPriority w:val="0"/>
    <w:rPr>
      <w:rFonts w:ascii="Times New Roman" w:hAnsi="Times New Roman" w:eastAsia="Lucida Sans Unicode" w:cs="Times New Roman"/>
      <w:sz w:val="24"/>
      <w:szCs w:val="24"/>
    </w:rPr>
  </w:style>
  <w:style w:type="character" w:customStyle="1" w:styleId="19">
    <w:name w:val="Обычный (веб) Знак1"/>
    <w:link w:val="10"/>
    <w:locked/>
    <w:uiPriority w:val="0"/>
    <w:rPr>
      <w:rFonts w:ascii="Tahoma" w:hAnsi="Tahoma" w:eastAsia="Times New Roman" w:cs="Tahoma"/>
      <w:color w:val="666666"/>
      <w:sz w:val="18"/>
      <w:szCs w:val="18"/>
      <w:lang w:val="uk-UA" w:eastAsia="uk-UA"/>
    </w:rPr>
  </w:style>
  <w:style w:type="character" w:customStyle="1" w:styleId="20">
    <w:name w:val="Стандартный HTML Знак"/>
    <w:basedOn w:val="2"/>
    <w:link w:val="8"/>
    <w:uiPriority w:val="0"/>
    <w:rPr>
      <w:rFonts w:ascii="Courier New" w:hAnsi="Courier New" w:eastAsia="Times New Roman" w:cs="Courier New"/>
      <w:sz w:val="20"/>
      <w:szCs w:val="20"/>
      <w:lang w:eastAsia="ru-RU"/>
    </w:rPr>
  </w:style>
  <w:style w:type="character" w:customStyle="1" w:styleId="21">
    <w:name w:val="WW8Num1z6"/>
    <w:uiPriority w:val="0"/>
  </w:style>
  <w:style w:type="paragraph" w:customStyle="1" w:styleId="22">
    <w:name w:val="rvps12"/>
    <w:basedOn w:val="1"/>
    <w:uiPriority w:val="0"/>
    <w:pPr>
      <w:spacing w:before="100" w:beforeAutospacing="1" w:after="100" w:afterAutospacing="1"/>
    </w:pPr>
  </w:style>
  <w:style w:type="character" w:customStyle="1" w:styleId="23">
    <w:name w:val="Основной текст с отступом Знак"/>
    <w:basedOn w:val="2"/>
    <w:link w:val="6"/>
    <w:semiHidden/>
    <w:qFormat/>
    <w:uiPriority w:val="99"/>
    <w:rPr>
      <w:rFonts w:ascii="Times New Roman" w:hAnsi="Times New Roman" w:eastAsia="Times New Roman" w:cs="Times New Roman"/>
      <w:sz w:val="24"/>
      <w:szCs w:val="24"/>
      <w:lang w:eastAsia="ru-RU"/>
    </w:rPr>
  </w:style>
  <w:style w:type="character" w:customStyle="1" w:styleId="24">
    <w:name w:val="Font Style44"/>
    <w:basedOn w:val="2"/>
    <w:qFormat/>
    <w:uiPriority w:val="0"/>
    <w:rPr>
      <w:rFonts w:ascii="Times New Roman" w:hAnsi="Times New Roman" w:cs="Times New Roman"/>
      <w:sz w:val="24"/>
      <w:szCs w:val="24"/>
    </w:rPr>
  </w:style>
  <w:style w:type="character" w:customStyle="1" w:styleId="25">
    <w:name w:val="Текст выноски Знак"/>
    <w:basedOn w:val="2"/>
    <w:link w:val="4"/>
    <w:semiHidden/>
    <w:qFormat/>
    <w:uiPriority w:val="99"/>
    <w:rPr>
      <w:rFonts w:ascii="Arial" w:hAnsi="Arial" w:eastAsia="Times New Roman" w:cs="Arial"/>
      <w:sz w:val="16"/>
      <w:szCs w:val="16"/>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E2BB9-1BF7-435C-B14B-C1C17FF2218D}">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25</Pages>
  <Words>8668</Words>
  <Characters>49412</Characters>
  <Lines>411</Lines>
  <Paragraphs>115</Paragraphs>
  <TotalTime>376</TotalTime>
  <ScaleCrop>false</ScaleCrop>
  <LinksUpToDate>false</LinksUpToDate>
  <CharactersWithSpaces>57965</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2018-01-25T10:31:00Z</dcterms:created>
  <dc:creator>Администратор</dc:creator>
  <cp:lastModifiedBy>ihors</cp:lastModifiedBy>
  <cp:lastPrinted>2018-02-15T12:55:00Z</cp:lastPrinted>
  <dcterms:modified xsi:type="dcterms:W3CDTF">2026-09-22T10:56:34Z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719317EF787C450E8E8B96B36911CF8A_12</vt:lpwstr>
  </property>
</Properties>
</file>